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97076" w14:textId="7BBC6F4B" w:rsidR="00CF72F3" w:rsidRPr="004C7CCD" w:rsidRDefault="00520AD5" w:rsidP="00F56C64">
      <w:pPr>
        <w:pStyle w:val="Frspaiere"/>
        <w:tabs>
          <w:tab w:val="left" w:pos="1170"/>
        </w:tabs>
        <w:ind w:left="9810" w:right="900" w:firstLine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="00F56C6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="00CF72F3">
        <w:rPr>
          <w:rFonts w:ascii="Times New Roman" w:hAnsi="Times New Roman"/>
          <w:b/>
          <w:bCs/>
          <w:color w:val="000000"/>
          <w:sz w:val="24"/>
          <w:szCs w:val="24"/>
        </w:rPr>
        <w:t>Anexa</w:t>
      </w:r>
      <w:proofErr w:type="spellEnd"/>
      <w:r w:rsidR="00CF72F3">
        <w:rPr>
          <w:rFonts w:ascii="Times New Roman" w:hAnsi="Times New Roman"/>
          <w:b/>
          <w:bCs/>
          <w:color w:val="000000"/>
          <w:sz w:val="24"/>
          <w:szCs w:val="24"/>
        </w:rPr>
        <w:t xml:space="preserve"> IV</w:t>
      </w:r>
    </w:p>
    <w:p w14:paraId="5DFC2393" w14:textId="60701F85" w:rsidR="00CF72F3" w:rsidRPr="004C7CCD" w:rsidRDefault="00F56C64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MUNICIPIUL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TÂRGU </w:t>
      </w:r>
      <w:r w:rsidR="00CF72F3"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MURES</w:t>
      </w:r>
      <w:proofErr w:type="gramEnd"/>
    </w:p>
    <w:p w14:paraId="2CEDADE6" w14:textId="367945CD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CO</w:t>
      </w:r>
      <w:r w:rsidR="00F56C64">
        <w:rPr>
          <w:rFonts w:ascii="Times New Roman" w:hAnsi="Times New Roman"/>
          <w:b/>
          <w:bCs/>
          <w:color w:val="000000"/>
          <w:sz w:val="24"/>
          <w:szCs w:val="24"/>
        </w:rPr>
        <w:t xml:space="preserve">NSILIUL LOCAL AL MUNICIPIULUI TÂRGU 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MURES</w:t>
      </w:r>
    </w:p>
    <w:p w14:paraId="35350ED2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>ADMINISTRAŢIA DOMENIULUI PUBLIC</w:t>
      </w:r>
    </w:p>
    <w:p w14:paraId="4F8665F4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</w:t>
      </w:r>
    </w:p>
    <w:p w14:paraId="58E1ACF4" w14:textId="422589CA" w:rsidR="00CF72F3" w:rsidRPr="004C7CCD" w:rsidRDefault="00CF72F3" w:rsidP="00F56C64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str. Kos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Karoly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nr.1B</w:t>
      </w:r>
    </w:p>
    <w:p w14:paraId="1AD2DCD7" w14:textId="77777777" w:rsidR="00F56C64" w:rsidRDefault="00F56C64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B4F65D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)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Nr.______</w:t>
      </w:r>
    </w:p>
    <w:p w14:paraId="0D5C32F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Str._____________________, nr. ______</w:t>
      </w:r>
    </w:p>
    <w:p w14:paraId="251B0345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Nr._______din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_________/________</w:t>
      </w:r>
    </w:p>
    <w:p w14:paraId="18593EFE" w14:textId="77777777" w:rsidR="00CF72F3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61110A" w14:textId="3523E592" w:rsidR="00CF72F3" w:rsidRPr="00F56C64" w:rsidRDefault="00CF72F3" w:rsidP="00F56C64">
      <w:pPr>
        <w:pStyle w:val="Frspaiere"/>
        <w:tabs>
          <w:tab w:val="left" w:pos="1170"/>
          <w:tab w:val="left" w:pos="11624"/>
        </w:tabs>
        <w:ind w:left="1170" w:right="61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CONTRACT DE ASOCIERE</w:t>
      </w:r>
    </w:p>
    <w:p w14:paraId="2BD79B0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Incheiat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astazi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, ......./......./.............</w:t>
      </w:r>
    </w:p>
    <w:p w14:paraId="09623E32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F8CCEC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I.Parţile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contractante</w:t>
      </w:r>
      <w:proofErr w:type="spellEnd"/>
    </w:p>
    <w:p w14:paraId="1BDA3B86" w14:textId="01A27275" w:rsidR="00CF72F3" w:rsidRPr="004C7CCD" w:rsidRDefault="00F56C64" w:rsidP="00F56C64">
      <w:pPr>
        <w:pStyle w:val="Frspaiere"/>
        <w:tabs>
          <w:tab w:val="left" w:pos="1170"/>
        </w:tabs>
        <w:ind w:left="1170" w:right="47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Târgu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reprezentat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Primar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ţa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nr. 3,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Ad</w:t>
      </w:r>
      <w:r>
        <w:rPr>
          <w:rFonts w:ascii="Times New Roman" w:hAnsi="Times New Roman"/>
          <w:color w:val="000000"/>
          <w:sz w:val="24"/>
          <w:szCs w:val="24"/>
        </w:rPr>
        <w:t>ministraţia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public Târgu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Târgu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>, str. K</w:t>
      </w:r>
      <w:r>
        <w:rPr>
          <w:rFonts w:ascii="Times New Roman" w:hAnsi="Times New Roman"/>
          <w:color w:val="000000"/>
          <w:sz w:val="24"/>
          <w:szCs w:val="24"/>
        </w:rPr>
        <w:t xml:space="preserve">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Karoly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nr.1B,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cod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>nregistrare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fiscal ____________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contul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_____________ ,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deschis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Trezoreria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reprezentata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Director ADP _______________________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Sef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Serviciu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SADPP _______________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F72F3" w:rsidRPr="004C7CCD">
        <w:rPr>
          <w:rFonts w:ascii="Times New Roman" w:hAnsi="Times New Roman"/>
          <w:color w:val="000000"/>
          <w:sz w:val="24"/>
          <w:szCs w:val="24"/>
        </w:rPr>
        <w:t>calitate</w:t>
      </w:r>
      <w:proofErr w:type="spellEnd"/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CF72F3"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asociat</w:t>
      </w:r>
      <w:proofErr w:type="spellEnd"/>
      <w:r w:rsidR="00CF72F3"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principal</w:t>
      </w:r>
    </w:p>
    <w:p w14:paraId="1E2A4997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55EB63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</w:p>
    <w:p w14:paraId="16342463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64A142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2. ASOCIAŢIA DE PROPRIETARI ________________________________________,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Tg.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str._______________________ nr._______ bl____ ap.________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reprezentat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 legal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____________________________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preşedinte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_____________________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vicepreşedinte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/administrator,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calitate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asociat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secundar</w:t>
      </w:r>
      <w:proofErr w:type="spellEnd"/>
    </w:p>
    <w:p w14:paraId="548B6320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66B006" w14:textId="77777777" w:rsidR="00CF72F3" w:rsidRDefault="00CF72F3" w:rsidP="00F56C64">
      <w:pPr>
        <w:pStyle w:val="Frspaiere"/>
        <w:tabs>
          <w:tab w:val="left" w:pos="1170"/>
          <w:tab w:val="left" w:pos="11624"/>
        </w:tabs>
        <w:ind w:left="1170" w:right="474" w:firstLine="27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convenit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respectarea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legislaţiei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vigoare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asupra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condiţii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3C300F97" w14:textId="77777777" w:rsidR="00F56C64" w:rsidRPr="004C7CCD" w:rsidRDefault="00F56C64" w:rsidP="00F56C64">
      <w:pPr>
        <w:pStyle w:val="Frspaiere"/>
        <w:tabs>
          <w:tab w:val="left" w:pos="1170"/>
          <w:tab w:val="left" w:pos="11624"/>
        </w:tabs>
        <w:ind w:left="1170" w:right="474" w:firstLine="2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7B9126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asociere</w:t>
      </w:r>
      <w:proofErr w:type="spellEnd"/>
    </w:p>
    <w:p w14:paraId="777C36C5" w14:textId="0E52C869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constituie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desfaşurarea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social-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comunitara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numar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34E1DD9" w14:textId="4BC6125D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contravaloarea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taxei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="00520AD5">
        <w:rPr>
          <w:rFonts w:ascii="Times New Roman" w:hAnsi="Times New Roman"/>
          <w:color w:val="000000"/>
          <w:sz w:val="24"/>
          <w:szCs w:val="24"/>
        </w:rPr>
        <w:t>,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având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sumelor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termen de max. 7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zile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urma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14:paraId="16DBF875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Principiile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stau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0FD76644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independenţei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juridice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57AF64D" w14:textId="77777777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acordarii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sprijinului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reciproc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prioritaţii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realizarea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îndeplinirea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scopului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6947B945" w14:textId="08BB4804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Art.4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care le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desfaşoara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încadreaza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F9B68F9" w14:textId="48D64E4C" w:rsidR="00CF72F3" w:rsidRPr="004C7CCD" w:rsidRDefault="00CF72F3" w:rsidP="00F56C64">
      <w:pPr>
        <w:pStyle w:val="Frspaiere"/>
        <w:tabs>
          <w:tab w:val="left" w:pos="1170"/>
          <w:tab w:val="left" w:pos="11624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Art.5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convin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întemeieze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scopul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D2AEE0D" w14:textId="4161BA96" w:rsidR="00F56C64" w:rsidRDefault="00CF72F3" w:rsidP="00F56C64">
      <w:pPr>
        <w:pStyle w:val="Frspaiere"/>
        <w:tabs>
          <w:tab w:val="left" w:pos="1170"/>
          <w:tab w:val="left" w:pos="11766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Art.6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are 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temei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art. </w:t>
      </w:r>
      <w:r>
        <w:rPr>
          <w:rFonts w:ascii="Times New Roman" w:hAnsi="Times New Roman"/>
          <w:color w:val="000000"/>
          <w:sz w:val="24"/>
          <w:szCs w:val="24"/>
        </w:rPr>
        <w:t>129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4C7CC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lit.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CCD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(9)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lit.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din</w:t>
      </w:r>
      <w:r>
        <w:rPr>
          <w:rFonts w:ascii="Times New Roman" w:hAnsi="Times New Roman"/>
          <w:color w:val="000000"/>
          <w:sz w:val="24"/>
          <w:szCs w:val="24"/>
        </w:rPr>
        <w:t xml:space="preserve"> O.U.G. nr. 57/2019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56C6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presupune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="00370C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="00370CE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faţa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C64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6C85DC5C" w14:textId="77777777" w:rsidR="00F56C64" w:rsidRDefault="00F56C64" w:rsidP="00F56C64">
      <w:pPr>
        <w:pStyle w:val="Frspaiere"/>
        <w:tabs>
          <w:tab w:val="left" w:pos="1170"/>
          <w:tab w:val="left" w:pos="11766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63B4DF" w14:textId="77777777" w:rsidR="00F56C64" w:rsidRDefault="00F56C64" w:rsidP="00F56C64">
      <w:pPr>
        <w:pStyle w:val="Frspaiere"/>
        <w:tabs>
          <w:tab w:val="left" w:pos="1170"/>
          <w:tab w:val="left" w:pos="11766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1721A8" w14:textId="60868E20" w:rsidR="00CF72F3" w:rsidRPr="004C7CCD" w:rsidRDefault="00CF72F3" w:rsidP="00F56C64">
      <w:pPr>
        <w:pStyle w:val="Frspaiere"/>
        <w:tabs>
          <w:tab w:val="left" w:pos="1170"/>
          <w:tab w:val="left" w:pos="11766"/>
        </w:tabs>
        <w:ind w:left="1170" w:right="474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A72CD9E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Art.7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caracterizeaza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lipsa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personalitate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juridica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neconstituind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entitate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juridica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distincta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raporturile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terţii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distinct.</w:t>
      </w:r>
    </w:p>
    <w:p w14:paraId="2147315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3BC146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Durata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asocierii</w:t>
      </w:r>
      <w:proofErr w:type="spellEnd"/>
    </w:p>
    <w:p w14:paraId="667273E4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Art.8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Durata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constituite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5 ani,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adica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data de _________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pâna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data de ______________.</w:t>
      </w:r>
    </w:p>
    <w:p w14:paraId="4FD4ED62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Art.9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Durata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prelungita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acordul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act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adiţional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6A3B699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A0D7EF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Aportul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parţilor</w:t>
      </w:r>
      <w:proofErr w:type="spellEnd"/>
    </w:p>
    <w:p w14:paraId="5288C92F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Art.10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realizarea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contribuie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cu:</w:t>
      </w:r>
    </w:p>
    <w:p w14:paraId="649AF659" w14:textId="25075DA2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acordarea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folosinţa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terenului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amenajata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27E9B23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indicatoare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marcaje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coşuri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gunoi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, etc.);</w:t>
      </w:r>
    </w:p>
    <w:p w14:paraId="4B66A173" w14:textId="6670C45E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formulare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abonamente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fixa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egala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taxa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stabilita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local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chitanţe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înscrisa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formulare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3B4C9ED5" w14:textId="0F2A4209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d) personal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face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057613FE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Art.11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realizarea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contribuie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cu:</w:t>
      </w:r>
    </w:p>
    <w:p w14:paraId="1DE9BD1C" w14:textId="618B75AC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a) personal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face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personal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îndeplini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atributii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2B0899BD" w14:textId="3E2E38DA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spaţiu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desfaşurarea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primire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cererilor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documentelor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necesare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organizarii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03FEB4D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pastreaza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asupra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reprezinta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contribuţia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realizarea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face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5D6C530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Art.13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Bunurile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respective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menţionate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inventarele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acceptate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semnate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inventare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fac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integranta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1FBA12DB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Art.14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relaţiile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terţii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raspunderea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contractuale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revine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naştere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respective.</w:t>
      </w:r>
    </w:p>
    <w:p w14:paraId="407210D5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Art.15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expirarea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duratei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restituirea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tuturor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le-a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adus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aport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s-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face, au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repararea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daunelor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suferite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2FC9AD6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CCED51" w14:textId="4757C930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IV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Condiţii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administrare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a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domiciliu</w:t>
      </w:r>
      <w:proofErr w:type="spellEnd"/>
    </w:p>
    <w:p w14:paraId="53B913B7" w14:textId="233CACF0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Art.</w:t>
      </w:r>
      <w:proofErr w:type="gram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 w:rsidR="001646F4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Asociaţia</w:t>
      </w:r>
      <w:proofErr w:type="spellEnd"/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condusa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T</w:t>
      </w:r>
      <w:r w:rsidR="001646F4">
        <w:rPr>
          <w:rFonts w:ascii="Times New Roman" w:hAnsi="Times New Roman"/>
          <w:color w:val="000000"/>
          <w:sz w:val="24"/>
          <w:szCs w:val="24"/>
        </w:rPr>
        <w:t>ârgu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E3644C5" w14:textId="7911273C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Art.17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revine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sarcina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="001646F4">
        <w:rPr>
          <w:rFonts w:ascii="Times New Roman" w:hAnsi="Times New Roman"/>
          <w:color w:val="000000"/>
          <w:sz w:val="24"/>
          <w:szCs w:val="24"/>
        </w:rPr>
        <w:t>ârgu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M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contribui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2C19241C" w14:textId="040CB8B0" w:rsidR="00CF72F3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Art.18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taxelor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depuse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integral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casieria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Public.</w:t>
      </w:r>
    </w:p>
    <w:p w14:paraId="7715F4A0" w14:textId="77777777" w:rsidR="001646F4" w:rsidRDefault="001646F4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0DE132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8B1D8A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V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Obligaţii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drepturi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ale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parţilor</w:t>
      </w:r>
      <w:proofErr w:type="spellEnd"/>
    </w:p>
    <w:p w14:paraId="02F92009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Art.19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 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2A4EB823" w14:textId="77777777" w:rsidR="00CF72F3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stabileasca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împreuna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28FAD968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stabilescă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împreună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Asociațiile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locurile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rulote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acolo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exista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solicitări</w:t>
      </w:r>
      <w:proofErr w:type="spellEnd"/>
    </w:p>
    <w:p w14:paraId="3A732839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efectueze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nici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lucrare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fac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natura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schimbe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destinaţia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modul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utilizare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acestora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6EDAEA72" w14:textId="2DA6F126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asigure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tot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sprijinul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F610C27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puna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dispoziţia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amenajate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toate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verbal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predare-primire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291C0E02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verifice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periodic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modul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respecta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34523466" w14:textId="6F74967B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primeasca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cu care </w:t>
      </w:r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are</w:t>
      </w:r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sumele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tabelelor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nominale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întocmite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reprezentând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taxa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B10672" w14:textId="593D01C9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achite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care 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10%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suma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reprezentând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taxa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dispoziţie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spaţiului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unde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desfaşura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conform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scopul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="00905ABE">
        <w:rPr>
          <w:rFonts w:ascii="Times New Roman" w:hAnsi="Times New Roman"/>
          <w:color w:val="000000"/>
          <w:sz w:val="24"/>
          <w:szCs w:val="24"/>
        </w:rPr>
        <w:t>ârgu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25111A4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Art.20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6B1E8C54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garanteze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perioada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valabilitate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menţinuta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menţinute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buna stare,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inclusiv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intrarile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ieşirile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nu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schimba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destinaţia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0DFA64DC" w14:textId="12C563A6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înregistreze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cererile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însoţite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acestuia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9FC0697" w14:textId="5E61BB96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încaseze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conform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tabelului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nominal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taxa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3495B150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sumele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termen de max.7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zile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eliberarii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abonamentelor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loc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6DC01776" w14:textId="16C4CE71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primeasca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 10%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taxei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predate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dispoziţie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spaţiului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unde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desfasura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conform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scopul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D50FC0E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contra cost,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formularele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abonamente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completate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predea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semnatura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registru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special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creat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înregistrarea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cererilor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26E29E66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câte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solicita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autoturismelor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alocate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precum,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cheltuielilor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întreţinerea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salubrizarii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fac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documentaţii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solicitate;</w:t>
      </w:r>
    </w:p>
    <w:p w14:paraId="5EE36587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lastRenderedPageBreak/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acestuia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problemele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salubrizarea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întreţinerea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dotarilor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indicatoare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marcaje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numerotare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4BAC7E7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comunice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beneficiarilor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eliberararii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necondiţionate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efectuarii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lucrari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edilitare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impun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ocuparea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temporara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spaţiilor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respective;</w:t>
      </w:r>
    </w:p>
    <w:p w14:paraId="1C93DD49" w14:textId="17307935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constituie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împreuna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5 (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cinci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membrii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astfel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6F9CF05D" w14:textId="39A69160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1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Preşedinte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Preşedintele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locatari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îndeplini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rol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preşedinte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2BE1E7C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Vicepreşedinte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Administratorul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,</w:t>
      </w:r>
    </w:p>
    <w:p w14:paraId="02A4813F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3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Membru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reprezentant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,</w:t>
      </w:r>
    </w:p>
    <w:p w14:paraId="7BFF0DA6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4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Membru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personal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Public,</w:t>
      </w:r>
    </w:p>
    <w:p w14:paraId="02BB894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5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Membru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personal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</w:t>
      </w:r>
    </w:p>
    <w:p w14:paraId="6F8D350A" w14:textId="77777777" w:rsidR="00CF72F3" w:rsidRPr="004C7CCD" w:rsidRDefault="00CF72F3" w:rsidP="00CF72F3">
      <w:pPr>
        <w:pStyle w:val="Frspaiere"/>
        <w:numPr>
          <w:ilvl w:val="0"/>
          <w:numId w:val="1"/>
        </w:numPr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constituie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împreuna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principal,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nivelul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câte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soluţionare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contestaţiilor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formata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3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membrii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reprezenta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Domeniului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public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Primaria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Îndrumare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Control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1738A3D8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VI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Incetarea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contractului</w:t>
      </w:r>
      <w:proofErr w:type="spellEnd"/>
    </w:p>
    <w:p w14:paraId="72F24C8A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Art.21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înceteaza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situaţii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:</w:t>
      </w:r>
    </w:p>
    <w:p w14:paraId="546F376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expirarea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duratei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s-a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49AC57C8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neîndeplinirea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îndeplinirea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necorespunzatoare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activitate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clauze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una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73B081CC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hotarârea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definitiva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irevocabila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instanţe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judecatoreşti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5706FC3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neîndeplinirea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mai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multor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contract;</w:t>
      </w:r>
    </w:p>
    <w:p w14:paraId="557C6108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acordul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voinţa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semnatare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1FA35DE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f)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denunţarea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mod unilateral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una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9563345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g)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intervenirea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incompatibilitate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;</w:t>
      </w:r>
    </w:p>
    <w:p w14:paraId="5AF9BB6D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h)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cauze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9982AE0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denunţat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mod unilateral,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invoca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plata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daune-interese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43F5CCA9" w14:textId="0E344BBC" w:rsidR="00CF72F3" w:rsidRPr="00444A1E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Art.23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În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încetarii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reintra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posesia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exclusive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valorilor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asupra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carora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-a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pastrat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proprietate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47B95572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VII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Forţa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majora</w:t>
      </w:r>
    </w:p>
    <w:p w14:paraId="2C0FDF64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Art.24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Nici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una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contractante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raspunde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termen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mod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necorespunzator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total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parţial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-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oricarei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revine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necorespunzatoare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respective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cauzata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majora,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aşa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cum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definita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7F9C529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Art.25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invoca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forţa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majora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notifice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termen de 5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zile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producerea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evenimentului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toate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masurile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posibile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limitarii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consecinţelor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8F95DE7" w14:textId="7372B870" w:rsidR="00CF72F3" w:rsidRPr="004C7CCD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Art.26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Daca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termen de 30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zile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producere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evenimentul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respectiv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înceteaza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notifice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încetarea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plin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vreuna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pretinda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daune-interese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074A1E7A" w14:textId="77777777" w:rsidR="00444A1E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VIII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Notificari</w:t>
      </w:r>
      <w:proofErr w:type="spellEnd"/>
    </w:p>
    <w:p w14:paraId="6114B22C" w14:textId="417FE41E" w:rsidR="00CF72F3" w:rsidRPr="00444A1E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Art.27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În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accepţiunea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contractante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notificare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adresata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una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celeilalte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valabil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îndeplinita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transmis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prevazut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introductiva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2041E12" w14:textId="58638E32" w:rsidR="00CF72F3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52F950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027B72" w14:textId="573B618F" w:rsidR="00CF72F3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IX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Soluţionarea</w:t>
      </w:r>
      <w:proofErr w:type="spellEnd"/>
      <w:r w:rsidRPr="004C7C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color w:val="000000"/>
          <w:sz w:val="24"/>
          <w:szCs w:val="24"/>
        </w:rPr>
        <w:t>litigiilor</w:t>
      </w:r>
      <w:proofErr w:type="spellEnd"/>
    </w:p>
    <w:p w14:paraId="1C1A8551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1469543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Art.28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(1)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Litigiile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izvorâte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modificarea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încetarea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interpretarea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clauzelor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rezolva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amiabila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litigiile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soluţionate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instanţele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judecatoreşti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române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7BD904CD" w14:textId="18DF1309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(2)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Raspunderea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problemele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ivi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punerea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procedurilor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="00905ABE">
        <w:rPr>
          <w:rFonts w:ascii="Times New Roman" w:hAnsi="Times New Roman"/>
          <w:color w:val="000000"/>
          <w:sz w:val="24"/>
          <w:szCs w:val="24"/>
        </w:rPr>
        <w:t>ârgu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solidara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14:paraId="4F9A280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E829C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X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Clauze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finale</w:t>
      </w:r>
    </w:p>
    <w:p w14:paraId="29E5945B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Art.29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persoane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juridice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realizarea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obiectului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se face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numai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acordul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fondatori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6779404C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Art.30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împreuna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anexele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fac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integranta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reprezinta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voinţa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inlatura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înţelegere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verbala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anterioara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ulterioara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încheierii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1A48A43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Art.31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În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parţile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încalca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neexercitarea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sufera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vreun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prejudiciu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a cere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executarea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întocmai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echivalent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banesc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C7CCD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obligaţiei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respective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înseamna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renunţat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10590056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raspunde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faptele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ilicite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cauzatoare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prejudicii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comise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depaşirea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atribuţiilor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la care sunt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arondate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imobilele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cadrul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acestuia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416EAE78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Art.33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raspunde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civil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daunele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produse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orice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act al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contrar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intereselor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acesteia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gestiune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imprudent,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utilizarea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abuziva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neglijenta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taxelor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încasate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favoarea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daca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acestea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constituie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4E281985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Art.34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are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dreptul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solicite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mediere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consultanţa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masuri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protecţie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asociatului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principal.</w:t>
      </w:r>
    </w:p>
    <w:p w14:paraId="7367DAAE" w14:textId="19B9F759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Art.35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se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completeaza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atribuire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locurilor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folosinţa,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domiciliu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municipiul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Tg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Mures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precum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Codului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civil,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aplicabile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326C12F7" w14:textId="19CA944A" w:rsidR="00CF72F3" w:rsidRDefault="00CF72F3" w:rsidP="006D16C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Art.36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Prezentul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contract de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asociere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încheiat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într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-un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numar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de 2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exemplare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cate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unul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fiecare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>.</w:t>
      </w:r>
    </w:p>
    <w:p w14:paraId="0352D6B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1B272D" w14:textId="39ADCD68" w:rsidR="006D16C3" w:rsidRDefault="00CF72F3" w:rsidP="006D16C3">
      <w:pPr>
        <w:pStyle w:val="Frspaiere"/>
        <w:tabs>
          <w:tab w:val="left" w:pos="1170"/>
        </w:tabs>
        <w:ind w:left="1890" w:right="900" w:firstLine="27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Asociat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principal,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Asociat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secundar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14:paraId="0ABAE56F" w14:textId="38F016E0" w:rsidR="006D16C3" w:rsidRDefault="006D16C3" w:rsidP="00CF72F3">
      <w:pPr>
        <w:pStyle w:val="Frspaiere"/>
        <w:tabs>
          <w:tab w:val="left" w:pos="1170"/>
        </w:tabs>
        <w:ind w:left="1890" w:right="900" w:firstLine="27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PRIMAR,                                                                          ASOCIAŢIA DE PROPRIETARI</w:t>
      </w:r>
    </w:p>
    <w:p w14:paraId="3F007F02" w14:textId="4A1CDFE7" w:rsidR="006D16C3" w:rsidRDefault="006D16C3" w:rsidP="00CF72F3">
      <w:pPr>
        <w:pStyle w:val="Frspaiere"/>
        <w:tabs>
          <w:tab w:val="left" w:pos="1170"/>
        </w:tabs>
        <w:ind w:left="1890" w:right="900" w:firstLine="27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Dorin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Florea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4C7CCD">
        <w:rPr>
          <w:rFonts w:ascii="Times New Roman" w:hAnsi="Times New Roman"/>
          <w:color w:val="000000"/>
          <w:sz w:val="24"/>
          <w:szCs w:val="24"/>
        </w:rPr>
        <w:t>Preşedinte</w:t>
      </w:r>
      <w:proofErr w:type="spellEnd"/>
    </w:p>
    <w:p w14:paraId="5BADE326" w14:textId="77777777" w:rsidR="006D16C3" w:rsidRPr="006D16C3" w:rsidRDefault="006D16C3" w:rsidP="00CF72F3">
      <w:pPr>
        <w:pStyle w:val="Frspaiere"/>
        <w:tabs>
          <w:tab w:val="left" w:pos="1170"/>
        </w:tabs>
        <w:ind w:left="1890" w:right="900" w:firstLine="2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42C04" w14:textId="458B743C" w:rsidR="006D16C3" w:rsidRDefault="006D16C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___________________________</w:t>
      </w:r>
    </w:p>
    <w:p w14:paraId="2EA87AF1" w14:textId="0CD5BC06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4C7CCD">
        <w:rPr>
          <w:rFonts w:ascii="Times New Roman" w:hAnsi="Times New Roman"/>
          <w:color w:val="000000"/>
          <w:sz w:val="24"/>
          <w:szCs w:val="24"/>
        </w:rPr>
        <w:t xml:space="preserve">ADMINISTRAŢIA DOMENIULUI PUBLIC </w:t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="006D16C3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10812D38" w14:textId="67A6FB61" w:rsidR="00CF72F3" w:rsidRPr="004C7CCD" w:rsidRDefault="00CF72F3" w:rsidP="00CF72F3">
      <w:pPr>
        <w:pStyle w:val="Frspaiere"/>
        <w:tabs>
          <w:tab w:val="left" w:pos="1170"/>
        </w:tabs>
        <w:ind w:left="1890" w:right="900" w:firstLine="2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4C7CCD">
        <w:rPr>
          <w:rFonts w:ascii="Times New Roman" w:hAnsi="Times New Roman"/>
          <w:color w:val="000000"/>
          <w:sz w:val="24"/>
          <w:szCs w:val="24"/>
        </w:rPr>
        <w:t xml:space="preserve">DIRECTOR, </w:t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</w:p>
    <w:p w14:paraId="46B083A0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5FFE4F" w14:textId="3ACF5BE5" w:rsidR="00CF72F3" w:rsidRPr="006D16C3" w:rsidRDefault="00CF72F3" w:rsidP="006D16C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______________________ </w:t>
      </w:r>
      <w:r w:rsidR="006D16C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="006D16C3" w:rsidRPr="004C7CCD">
        <w:rPr>
          <w:rFonts w:ascii="Times New Roman" w:hAnsi="Times New Roman"/>
          <w:color w:val="000000"/>
          <w:sz w:val="24"/>
          <w:szCs w:val="24"/>
        </w:rPr>
        <w:t>Vicepreşedinte</w:t>
      </w:r>
      <w:proofErr w:type="spellEnd"/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6D16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14:paraId="20AC2299" w14:textId="20238E59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parcări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garaje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ridicări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mașini</w:t>
      </w:r>
      <w:proofErr w:type="spellEnd"/>
      <w:r w:rsidRPr="004C7CC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color w:val="000000"/>
          <w:sz w:val="24"/>
          <w:szCs w:val="24"/>
        </w:rPr>
        <w:tab/>
      </w:r>
      <w:r w:rsidR="006D16C3">
        <w:rPr>
          <w:rFonts w:ascii="Times New Roman" w:hAnsi="Times New Roman"/>
          <w:color w:val="000000"/>
          <w:sz w:val="24"/>
          <w:szCs w:val="24"/>
        </w:rPr>
        <w:t xml:space="preserve">         ______________________</w:t>
      </w:r>
    </w:p>
    <w:p w14:paraId="06B811D7" w14:textId="77777777" w:rsidR="00CF72F3" w:rsidRPr="004C7CCD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40DCCD" w14:textId="0BA796C1" w:rsidR="00CF72F3" w:rsidRPr="006D16C3" w:rsidRDefault="00CF72F3" w:rsidP="006D16C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 xml:space="preserve">______________________ </w:t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C7CC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14:paraId="40053FE0" w14:textId="77777777" w:rsidR="006D16C3" w:rsidRDefault="00CF72F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14:paraId="52EB0F1E" w14:textId="033348A1" w:rsidR="00CF72F3" w:rsidRPr="004C7CCD" w:rsidRDefault="006D16C3" w:rsidP="00CF72F3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>VIZ</w:t>
      </w:r>
      <w:r w:rsidR="00CF72F3">
        <w:rPr>
          <w:rFonts w:ascii="Times New Roman" w:hAnsi="Times New Roman"/>
          <w:color w:val="000000"/>
          <w:sz w:val="24"/>
          <w:szCs w:val="24"/>
        </w:rPr>
        <w:t>Ă</w:t>
      </w:r>
      <w:r w:rsidR="00CF72F3" w:rsidRPr="004C7CCD">
        <w:rPr>
          <w:rFonts w:ascii="Times New Roman" w:hAnsi="Times New Roman"/>
          <w:color w:val="000000"/>
          <w:sz w:val="24"/>
          <w:szCs w:val="24"/>
        </w:rPr>
        <w:t xml:space="preserve"> JURIDIC</w:t>
      </w:r>
      <w:r w:rsidR="00CF72F3">
        <w:rPr>
          <w:rFonts w:ascii="Times New Roman" w:hAnsi="Times New Roman"/>
          <w:color w:val="000000"/>
          <w:sz w:val="24"/>
          <w:szCs w:val="24"/>
        </w:rPr>
        <w:t>Ă</w:t>
      </w:r>
    </w:p>
    <w:p w14:paraId="47AC1AC2" w14:textId="625F3CC5" w:rsidR="008B701F" w:rsidRPr="00444A1E" w:rsidRDefault="00CF72F3" w:rsidP="00444A1E">
      <w:pPr>
        <w:pStyle w:val="Frspaiere"/>
        <w:tabs>
          <w:tab w:val="left" w:pos="1170"/>
        </w:tabs>
        <w:ind w:left="1170"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4C7CCD">
        <w:rPr>
          <w:rFonts w:ascii="Times New Roman" w:hAnsi="Times New Roman"/>
          <w:color w:val="000000"/>
          <w:sz w:val="24"/>
          <w:szCs w:val="24"/>
        </w:rPr>
        <w:t>______________________</w:t>
      </w:r>
    </w:p>
    <w:sectPr w:rsidR="008B701F" w:rsidRPr="00444A1E" w:rsidSect="00D76686">
      <w:footerReference w:type="default" r:id="rId7"/>
      <w:pgSz w:w="12240" w:h="15840"/>
      <w:pgMar w:top="27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E088" w14:textId="77777777" w:rsidR="0084791E" w:rsidRDefault="0084791E" w:rsidP="00CF72F3">
      <w:pPr>
        <w:spacing w:after="0" w:line="240" w:lineRule="auto"/>
      </w:pPr>
      <w:r>
        <w:separator/>
      </w:r>
    </w:p>
  </w:endnote>
  <w:endnote w:type="continuationSeparator" w:id="0">
    <w:p w14:paraId="5F93E398" w14:textId="77777777" w:rsidR="0084791E" w:rsidRDefault="0084791E" w:rsidP="00CF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C866" w14:textId="77777777" w:rsidR="00CF72F3" w:rsidRDefault="00CF72F3">
    <w:pPr>
      <w:pStyle w:val="Subsol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3C74E3">
      <w:rPr>
        <w:caps/>
        <w:noProof/>
        <w:color w:val="4472C4" w:themeColor="accent1"/>
      </w:rPr>
      <w:t>5</w:t>
    </w:r>
    <w:r>
      <w:rPr>
        <w:caps/>
        <w:noProof/>
        <w:color w:val="4472C4" w:themeColor="accent1"/>
      </w:rPr>
      <w:fldChar w:fldCharType="end"/>
    </w:r>
  </w:p>
  <w:p w14:paraId="3E9EBF43" w14:textId="77777777" w:rsidR="00D76686" w:rsidRDefault="00905A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7500F" w14:textId="77777777" w:rsidR="0084791E" w:rsidRDefault="0084791E" w:rsidP="00CF72F3">
      <w:pPr>
        <w:spacing w:after="0" w:line="240" w:lineRule="auto"/>
      </w:pPr>
      <w:r>
        <w:separator/>
      </w:r>
    </w:p>
  </w:footnote>
  <w:footnote w:type="continuationSeparator" w:id="0">
    <w:p w14:paraId="1953C96B" w14:textId="77777777" w:rsidR="0084791E" w:rsidRDefault="0084791E" w:rsidP="00CF7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84C7D"/>
    <w:multiLevelType w:val="hybridMultilevel"/>
    <w:tmpl w:val="56B0F0D4"/>
    <w:lvl w:ilvl="0" w:tplc="DF2670D0">
      <w:start w:val="2"/>
      <w:numFmt w:val="bullet"/>
      <w:lvlText w:val="-"/>
      <w:lvlJc w:val="left"/>
      <w:pPr>
        <w:ind w:left="153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01F"/>
    <w:rsid w:val="001646F4"/>
    <w:rsid w:val="00370CE7"/>
    <w:rsid w:val="003C74E3"/>
    <w:rsid w:val="00444A1E"/>
    <w:rsid w:val="00480254"/>
    <w:rsid w:val="00520AD5"/>
    <w:rsid w:val="006D16C3"/>
    <w:rsid w:val="0084791E"/>
    <w:rsid w:val="008B701F"/>
    <w:rsid w:val="00905ABE"/>
    <w:rsid w:val="00CF49B5"/>
    <w:rsid w:val="00CF72F3"/>
    <w:rsid w:val="00F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2DD8"/>
  <w15:docId w15:val="{1C61BC04-A47F-4AFA-A036-472A68ED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2F3"/>
    <w:rPr>
      <w:rFonts w:eastAsiaTheme="minorEastAsia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80254"/>
    <w:pPr>
      <w:spacing w:after="0" w:line="240" w:lineRule="auto"/>
    </w:pPr>
    <w:rPr>
      <w:rFonts w:eastAsiaTheme="minorEastAsia" w:cs="Times New Roman"/>
    </w:rPr>
  </w:style>
  <w:style w:type="paragraph" w:styleId="Subsol">
    <w:name w:val="footer"/>
    <w:basedOn w:val="Normal"/>
    <w:link w:val="SubsolCaracter"/>
    <w:uiPriority w:val="99"/>
    <w:unhideWhenUsed/>
    <w:rsid w:val="00CF72F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72F3"/>
    <w:rPr>
      <w:rFonts w:eastAsiaTheme="minorEastAsia" w:cs="Times New Roman"/>
    </w:rPr>
  </w:style>
  <w:style w:type="paragraph" w:styleId="Antet">
    <w:name w:val="header"/>
    <w:basedOn w:val="Normal"/>
    <w:link w:val="AntetCaracter"/>
    <w:uiPriority w:val="99"/>
    <w:unhideWhenUsed/>
    <w:rsid w:val="00CF7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2F3"/>
    <w:rPr>
      <w:rFonts w:eastAsiaTheme="minorEastAsia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4A1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2538</Words>
  <Characters>14727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2019-11-19T07:31:00Z</cp:lastPrinted>
  <dcterms:created xsi:type="dcterms:W3CDTF">2019-10-15T12:23:00Z</dcterms:created>
  <dcterms:modified xsi:type="dcterms:W3CDTF">2020-07-30T07:59:00Z</dcterms:modified>
</cp:coreProperties>
</file>