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9DB1" w14:textId="77777777" w:rsidR="00C43A2B" w:rsidRPr="00C43A2B" w:rsidRDefault="00C43A2B" w:rsidP="00C43A2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ROMÂNIA</w:t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  <w:t xml:space="preserve">                       (nu produce efecte juridice)*</w:t>
      </w:r>
    </w:p>
    <w:p w14:paraId="63F43D88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JUDEŢUL MUREŞ                                                                                    </w:t>
      </w:r>
    </w:p>
    <w:p w14:paraId="2BE96705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MUNICIPIUL TÂRGU MUREŞ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3421F1C6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DIRECŢIA TEHNICĂ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</w:t>
      </w:r>
    </w:p>
    <w:p w14:paraId="1545134C" w14:textId="57AD6C86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Nr. </w:t>
      </w:r>
      <w:bookmarkStart w:id="0" w:name="_Hlk222299390"/>
      <w:r w:rsidR="0063144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12710</w:t>
      </w:r>
      <w:r w:rsidR="00E75CCB" w:rsidRPr="00E75C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/5</w:t>
      </w:r>
      <w:r w:rsidR="0063144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46</w:t>
      </w:r>
      <w:r w:rsidR="00E75CCB" w:rsidRPr="00E75C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/DT/18.0</w:t>
      </w:r>
      <w:r w:rsidR="0063144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  <w:r w:rsidR="00E75CCB" w:rsidRPr="00E75C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.2026</w:t>
      </w:r>
      <w:r w:rsidRPr="00E75C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bookmarkEnd w:id="0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16020056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D39FC8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                        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Initiator</w:t>
      </w:r>
      <w:proofErr w:type="spellEnd"/>
    </w:p>
    <w:p w14:paraId="02A5B2DF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</w:t>
      </w: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</w:t>
      </w:r>
    </w:p>
    <w:p w14:paraId="29CBC81D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Soós Zoltán</w:t>
      </w:r>
    </w:p>
    <w:p w14:paraId="09C8D5BC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BC4591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CA0F7C" w14:textId="1D9F0587" w:rsidR="00C43A2B" w:rsidRPr="00C43A2B" w:rsidRDefault="00C43A2B" w:rsidP="002F7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Referat de aprobare</w:t>
      </w:r>
    </w:p>
    <w:p w14:paraId="42C0FC30" w14:textId="77777777" w:rsidR="00C43A2B" w:rsidRPr="00C43A2B" w:rsidRDefault="00C43A2B" w:rsidP="00C4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9785BF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1" w:name="_Hlk528759698"/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bookmarkEnd w:id="1"/>
      <w:proofErr w:type="spellEnd"/>
    </w:p>
    <w:p w14:paraId="4FF2AEBA" w14:textId="5195496A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„</w:t>
      </w:r>
      <w:bookmarkStart w:id="2" w:name="_Hlk212791677"/>
      <w:bookmarkStart w:id="3" w:name="_Hlk105497141"/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Modernizare strada </w:t>
      </w:r>
      <w:r w:rsidR="00EA60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Pădurii</w:t>
      </w:r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</w:t>
      </w:r>
      <w:r w:rsidR="004769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SF/</w:t>
      </w:r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DALI</w:t>
      </w:r>
      <w:bookmarkEnd w:id="2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3"/>
    </w:p>
    <w:p w14:paraId="2C25F435" w14:textId="77777777" w:rsidR="00C43A2B" w:rsidRPr="00C43A2B" w:rsidRDefault="00C43A2B" w:rsidP="00C43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7166401" w14:textId="77777777" w:rsidR="00C43A2B" w:rsidRPr="00C43A2B" w:rsidRDefault="00C43A2B" w:rsidP="00C43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0A946E6" w14:textId="1A9EDD96" w:rsidR="00C43A2B" w:rsidRPr="00C43A2B" w:rsidRDefault="00C43A2B" w:rsidP="00EA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ab/>
      </w:r>
      <w:r w:rsidR="00EA60CE" w:rsidRPr="00EA60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Obiectivul studiat face parte din categoria străzilor de categoria a IV-a, cu 2 benzi, în mediu urban.</w:t>
      </w:r>
      <w:r w:rsidR="00EA60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 </w:t>
      </w:r>
      <w:r w:rsidR="00EA60CE" w:rsidRPr="00EA60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În prezent strada se află într-o stare tehnică neadecvată desfășurării traficului rutier și pietonal în condiții de siguranță și confort. Sistemul rutier este alcătuit dintr-o pietruire primară, lățimea amenajată nu este suficientă.</w:t>
      </w:r>
      <w:r w:rsidRPr="00C43A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.  </w:t>
      </w:r>
    </w:p>
    <w:p w14:paraId="0911C910" w14:textId="77777777" w:rsidR="00C43A2B" w:rsidRPr="00C43A2B" w:rsidRDefault="00C43A2B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</w:p>
    <w:p w14:paraId="0A5B26AF" w14:textId="77777777" w:rsidR="00C43A2B" w:rsidRPr="00C43A2B" w:rsidRDefault="00C43A2B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Situaţia existentă:</w:t>
      </w:r>
    </w:p>
    <w:p w14:paraId="157AF739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Situația existentă a străzii este următoarea:</w:t>
      </w:r>
    </w:p>
    <w:p w14:paraId="296AF0CB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Lungimea tronsonului studiat al străzii Pădurii este de 153m.</w:t>
      </w:r>
    </w:p>
    <w:p w14:paraId="06A4603C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Strada este o prelungire a străzii Pădurii care la rândul ei pleacă din strada Trebely. </w:t>
      </w:r>
    </w:p>
    <w:p w14:paraId="6B0C9205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Strada se prezintă în mare parte (la începutul tronsonului avem o porțiune de aproximativ 60 m cu sistem rutier din mixtua asfaltică într-o stare deplorabilă) cu sistemul rutier din agregate naturale (pietriș, balast), cu lățimea de 4,00 – 6,00 m. </w:t>
      </w:r>
    </w:p>
    <w:p w14:paraId="5C4ABACF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Scurgerea apelor pluviale este asigurată de gurile de scurgere ale canalizării pluviale. </w:t>
      </w:r>
    </w:p>
    <w:p w14:paraId="6497E3FE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Deficiențele constatate la fața locului:</w:t>
      </w:r>
    </w:p>
    <w:p w14:paraId="32127C8A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elemente geometrice nesistematizate în plan și profil longitudinal;</w:t>
      </w:r>
    </w:p>
    <w:p w14:paraId="0A4077E1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lipsa pantelor transversale;</w:t>
      </w:r>
    </w:p>
    <w:p w14:paraId="664399A0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regimul de scurgere al apelor deficitar, determinat de lipsa unui sistem rutier impermiabil;</w:t>
      </w:r>
    </w:p>
    <w:p w14:paraId="4A697361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intersecții neamenajate cu drumurile laterale de pământ sau pietruite;</w:t>
      </w:r>
    </w:p>
    <w:p w14:paraId="4A7C2B6D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lipsa trotuarelor;</w:t>
      </w:r>
    </w:p>
    <w:p w14:paraId="189AD09D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semnalizare rutieră insuficientă a drumului;</w:t>
      </w:r>
    </w:p>
    <w:p w14:paraId="0641CC9D" w14:textId="77777777" w:rsidR="007667CD" w:rsidRPr="002E1A74" w:rsidRDefault="007667CD" w:rsidP="007667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lipsa iluminatului stradal;</w:t>
      </w:r>
    </w:p>
    <w:p w14:paraId="6EBA672D" w14:textId="00152CB4" w:rsidR="006E6C27" w:rsidRDefault="006E6C27" w:rsidP="006E6C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393F3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Conform HG 907/2018 proiectantul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prezintă</w:t>
      </w:r>
      <w:r w:rsidRPr="00393F3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două scenarii din care propune varianta optimă/recomandată care o supunem spre aprobare.</w:t>
      </w:r>
    </w:p>
    <w:p w14:paraId="22DA4131" w14:textId="77777777" w:rsidR="002E1A74" w:rsidRPr="002E1A74" w:rsidRDefault="002E1A74" w:rsidP="006E6C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773C58E" w14:textId="77777777" w:rsidR="002E1A74" w:rsidRPr="002E1A74" w:rsidRDefault="002E1A74" w:rsidP="002E1A74">
      <w:pPr>
        <w:pStyle w:val="Default"/>
        <w:rPr>
          <w:rFonts w:ascii="Times New Roman" w:hAnsi="Times New Roman" w:cs="Times New Roman"/>
          <w:lang w:val="it-IT"/>
        </w:rPr>
      </w:pPr>
      <w:r w:rsidRPr="002E1A74">
        <w:rPr>
          <w:rFonts w:ascii="Times New Roman" w:hAnsi="Times New Roman" w:cs="Times New Roman"/>
          <w:b/>
          <w:bCs/>
          <w:lang w:val="it-IT"/>
        </w:rPr>
        <w:t xml:space="preserve">NOTĂ: Lățimea proiectată pe amplasamentul existent al străzii, delimitată de gardurile și construcțiile existente, nu respectă prevederile din PUZ Cornești aprobat prin HCL Tg. Mureș nr.166/2000, care prevede un profil stradal de 10m, respectiv 2 benzi de circulație. </w:t>
      </w:r>
    </w:p>
    <w:p w14:paraId="1F6EB02E" w14:textId="77777777" w:rsidR="002E1A74" w:rsidRPr="002E1A74" w:rsidRDefault="002E1A74" w:rsidP="002E1A74">
      <w:pPr>
        <w:pStyle w:val="Default"/>
        <w:rPr>
          <w:rFonts w:ascii="Times New Roman" w:hAnsi="Times New Roman" w:cs="Times New Roman"/>
          <w:lang w:val="it-IT"/>
        </w:rPr>
      </w:pPr>
      <w:r w:rsidRPr="002E1A74">
        <w:rPr>
          <w:rFonts w:ascii="Times New Roman" w:hAnsi="Times New Roman" w:cs="Times New Roman"/>
          <w:b/>
          <w:bCs/>
          <w:lang w:val="it-IT"/>
        </w:rPr>
        <w:t xml:space="preserve">O parte semnificativă a terenurilor pe care este propusă realizarea străzii sunt terenuri private, fără reglementare juridică. </w:t>
      </w:r>
    </w:p>
    <w:p w14:paraId="2F49CBBC" w14:textId="74699525" w:rsidR="00C43A2B" w:rsidRPr="002E1A74" w:rsidRDefault="002E1A74" w:rsidP="002E1A7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E1A74">
        <w:rPr>
          <w:rFonts w:ascii="Times New Roman" w:hAnsi="Times New Roman" w:cs="Times New Roman"/>
          <w:b/>
          <w:bCs/>
          <w:sz w:val="24"/>
          <w:szCs w:val="24"/>
        </w:rPr>
        <w:t>După clarificarea situației juridice a terenurilor, respectiv după exproprierea acestora în vederea obținerii amprizei necesare pentru realizarea străzii la parametrii prevăzute în PUZ, se va trece la amenajarea străzii conform planului de situație „ETAPA 2”.</w:t>
      </w:r>
    </w:p>
    <w:p w14:paraId="554BC127" w14:textId="77777777" w:rsidR="002E1A74" w:rsidRPr="00C43A2B" w:rsidRDefault="002E1A74" w:rsidP="00C43A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D19B1A8" w14:textId="77777777" w:rsidR="00C43A2B" w:rsidRPr="00C43A2B" w:rsidRDefault="00C43A2B" w:rsidP="00C43A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lastRenderedPageBreak/>
        <w:t>Situaţia propusă:</w:t>
      </w:r>
    </w:p>
    <w:p w14:paraId="439A5DCE" w14:textId="77777777" w:rsidR="00B07FD4" w:rsidRPr="00B07FD4" w:rsidRDefault="00B07FD4" w:rsidP="00B07FD4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" w:name="_Hlk126134741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Obiectivul principal al proiectului îl reprezintă îmbunătățirea condițiilor de trafic pe strada Pădurii prin amenajarea căilor de comunicare terestră destinată traficului rutier local, precum și traficului pietonal.</w:t>
      </w:r>
    </w:p>
    <w:p w14:paraId="140D77B6" w14:textId="77777777" w:rsidR="00B07FD4" w:rsidRPr="00B07FD4" w:rsidRDefault="00B07FD4" w:rsidP="00B07FD4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Obiectivele specifice a proiectului:</w:t>
      </w:r>
    </w:p>
    <w:p w14:paraId="63B64CB8" w14:textId="77777777" w:rsidR="00B07FD4" w:rsidRPr="00B07FD4" w:rsidRDefault="00B07FD4" w:rsidP="00B07FD4">
      <w:pPr>
        <w:numPr>
          <w:ilvl w:val="0"/>
          <w:numId w:val="2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îmbunătățirea condițiilor social – economice și de mediu;</w:t>
      </w:r>
    </w:p>
    <w:p w14:paraId="63AA133F" w14:textId="77777777" w:rsidR="00B07FD4" w:rsidRPr="00B07FD4" w:rsidRDefault="00B07FD4" w:rsidP="00B07FD4">
      <w:pPr>
        <w:numPr>
          <w:ilvl w:val="0"/>
          <w:numId w:val="2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asigurarea infrastructurii rutiere;</w:t>
      </w:r>
    </w:p>
    <w:p w14:paraId="0EB14104" w14:textId="77777777" w:rsidR="00B07FD4" w:rsidRPr="00B07FD4" w:rsidRDefault="00B07FD4" w:rsidP="00B07FD4">
      <w:pPr>
        <w:numPr>
          <w:ilvl w:val="0"/>
          <w:numId w:val="2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asigurarea infrastructurii destinate pietonilor;</w:t>
      </w:r>
    </w:p>
    <w:p w14:paraId="4117E3DC" w14:textId="77777777" w:rsidR="00B07FD4" w:rsidRPr="00B07FD4" w:rsidRDefault="00B07FD4" w:rsidP="00B07FD4">
      <w:pPr>
        <w:numPr>
          <w:ilvl w:val="0"/>
          <w:numId w:val="2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asigurarea mobilității forței de muncă;</w:t>
      </w:r>
    </w:p>
    <w:p w14:paraId="4C8D4B9C" w14:textId="77777777" w:rsidR="00B07FD4" w:rsidRPr="00B07FD4" w:rsidRDefault="00B07FD4" w:rsidP="00B07FD4">
      <w:pPr>
        <w:numPr>
          <w:ilvl w:val="0"/>
          <w:numId w:val="2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îmbunătățirea calității de mediului din zona de implementare a proiectului (reducerea nivelului de zgomot a vehiculelor aflate în circulație);</w:t>
      </w:r>
    </w:p>
    <w:p w14:paraId="639A6D98" w14:textId="77777777" w:rsidR="00B07FD4" w:rsidRPr="00B07FD4" w:rsidRDefault="00B07FD4" w:rsidP="00B07FD4">
      <w:pPr>
        <w:numPr>
          <w:ilvl w:val="0"/>
          <w:numId w:val="2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creșterea speranței de viață datorită facilităților mai bune pentru sănătate și a reducerii poluării;</w:t>
      </w:r>
    </w:p>
    <w:p w14:paraId="366B5CD3" w14:textId="77777777" w:rsidR="00B07FD4" w:rsidRPr="00B07FD4" w:rsidRDefault="00B07FD4" w:rsidP="00B07FD4">
      <w:pPr>
        <w:numPr>
          <w:ilvl w:val="0"/>
          <w:numId w:val="2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reducerea nivelului de expunere la poluarea aerului și sonoră a oamenilor din zonă;</w:t>
      </w:r>
    </w:p>
    <w:p w14:paraId="4FD4E71D" w14:textId="77777777" w:rsidR="00B07FD4" w:rsidRPr="00B07FD4" w:rsidRDefault="00B07FD4" w:rsidP="00B07FD4">
      <w:pPr>
        <w:numPr>
          <w:ilvl w:val="0"/>
          <w:numId w:val="25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obținerea unei construcții care să satisfacă cerințele actuale prescrise de normativele în vigoare.</w:t>
      </w:r>
    </w:p>
    <w:p w14:paraId="35B322EB" w14:textId="77777777" w:rsidR="00B07FD4" w:rsidRPr="00B07FD4" w:rsidRDefault="00B07FD4" w:rsidP="00B07FD4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4F73FA" w14:textId="77777777" w:rsidR="00B07FD4" w:rsidRPr="00B07FD4" w:rsidRDefault="00B07FD4" w:rsidP="00B07FD4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Aceste obiective pot fi atinse prin:</w:t>
      </w:r>
    </w:p>
    <w:p w14:paraId="67211928" w14:textId="77777777" w:rsidR="00B07FD4" w:rsidRPr="00B07FD4" w:rsidRDefault="00B07FD4" w:rsidP="00B07FD4">
      <w:pPr>
        <w:numPr>
          <w:ilvl w:val="0"/>
          <w:numId w:val="26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reabilitarea părții carosabile;</w:t>
      </w:r>
    </w:p>
    <w:p w14:paraId="7BCEFD7A" w14:textId="77777777" w:rsidR="00B07FD4" w:rsidRPr="00B07FD4" w:rsidRDefault="00B07FD4" w:rsidP="00B07FD4">
      <w:pPr>
        <w:numPr>
          <w:ilvl w:val="0"/>
          <w:numId w:val="26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amenajarea trotuarelor, precum și amenajarea acceselor;</w:t>
      </w:r>
    </w:p>
    <w:p w14:paraId="4EDF2B61" w14:textId="77777777" w:rsidR="00B07FD4" w:rsidRPr="00B07FD4" w:rsidRDefault="00B07FD4" w:rsidP="00B07FD4">
      <w:pPr>
        <w:numPr>
          <w:ilvl w:val="0"/>
          <w:numId w:val="26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colectarea apelor pluviale de pe partea carosabilă și evacuarea lor către emisari, prin gurilor de scurgere ale canalizări pluviale existente;</w:t>
      </w:r>
    </w:p>
    <w:p w14:paraId="628FFE08" w14:textId="77777777" w:rsidR="00B07FD4" w:rsidRPr="00B07FD4" w:rsidRDefault="00B07FD4" w:rsidP="00B07FD4">
      <w:pPr>
        <w:numPr>
          <w:ilvl w:val="0"/>
          <w:numId w:val="26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realizarea semnalizării rutiere;</w:t>
      </w:r>
    </w:p>
    <w:p w14:paraId="491151EC" w14:textId="77777777" w:rsidR="00B07FD4" w:rsidRPr="00B07FD4" w:rsidRDefault="00B07FD4" w:rsidP="00B07FD4">
      <w:pPr>
        <w:numPr>
          <w:ilvl w:val="0"/>
          <w:numId w:val="26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executarea iluminatului public;</w:t>
      </w:r>
    </w:p>
    <w:p w14:paraId="38809C7B" w14:textId="77777777" w:rsidR="00B07FD4" w:rsidRPr="00B07FD4" w:rsidRDefault="00B07FD4" w:rsidP="00B07FD4">
      <w:pPr>
        <w:numPr>
          <w:ilvl w:val="0"/>
          <w:numId w:val="26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executarea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canalizprii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tehnice pentru tubulatura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fibrăoptică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8FFFB0B" w14:textId="77777777" w:rsidR="00B07FD4" w:rsidRPr="00B07FD4" w:rsidRDefault="00B07FD4" w:rsidP="00B07FD4">
      <w:pPr>
        <w:numPr>
          <w:ilvl w:val="0"/>
          <w:numId w:val="26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amenajarea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intersecților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străzile adiacente.</w:t>
      </w:r>
      <w:bookmarkEnd w:id="4"/>
    </w:p>
    <w:p w14:paraId="348D3B79" w14:textId="77777777" w:rsidR="00EE67CA" w:rsidRPr="002E1A74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EE0000"/>
          <w:kern w:val="0"/>
          <w:sz w:val="24"/>
          <w:szCs w:val="24"/>
          <w:lang w:val="it-IT"/>
          <w14:ligatures w14:val="none"/>
        </w:rPr>
      </w:pPr>
    </w:p>
    <w:p w14:paraId="292F6268" w14:textId="77777777" w:rsidR="00EE67CA" w:rsidRPr="00EE67CA" w:rsidRDefault="00EE67CA" w:rsidP="00EE67CA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EE67CA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CONCLUZIILE EXPERTIZEI TEHNICE </w:t>
      </w:r>
    </w:p>
    <w:p w14:paraId="05A001A5" w14:textId="77777777" w:rsidR="00B07FD4" w:rsidRPr="00B07FD4" w:rsidRDefault="00B07FD4" w:rsidP="00B07FD4">
      <w:pPr>
        <w:numPr>
          <w:ilvl w:val="0"/>
          <w:numId w:val="27"/>
        </w:numPr>
        <w:spacing w:afterLines="20" w:after="48" w:line="276" w:lineRule="auto"/>
        <w:ind w:left="720" w:hanging="52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5" w:name="_Toc474137785"/>
      <w:r w:rsidRPr="00B07F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Clasa de risc seismic;</w:t>
      </w:r>
      <w:bookmarkEnd w:id="5"/>
    </w:p>
    <w:p w14:paraId="666BC552" w14:textId="77777777" w:rsidR="00B07FD4" w:rsidRPr="00B07FD4" w:rsidRDefault="00B07FD4" w:rsidP="00B07FD4">
      <w:pPr>
        <w:spacing w:afterLines="20" w:after="48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Strada studiată se încadrează în clasa de risc seismic III – corespunzând construcțiilor la care sunt așteptate degradări structurale care nu afectează semnificativ siguranța structurală, dar la care degradările elementelor nestructurale pot fi importante.</w:t>
      </w:r>
    </w:p>
    <w:p w14:paraId="4F7DC556" w14:textId="77777777" w:rsidR="00B07FD4" w:rsidRPr="00B07FD4" w:rsidRDefault="00B07FD4" w:rsidP="00B07FD4">
      <w:pPr>
        <w:spacing w:afterLines="20" w:after="48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085953" w14:textId="77777777" w:rsidR="00B07FD4" w:rsidRPr="00B07FD4" w:rsidRDefault="00B07FD4" w:rsidP="00B07FD4">
      <w:pPr>
        <w:numPr>
          <w:ilvl w:val="0"/>
          <w:numId w:val="27"/>
        </w:numPr>
        <w:spacing w:after="0" w:line="276" w:lineRule="auto"/>
        <w:ind w:left="709" w:hanging="52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6" w:name="_Toc474137786"/>
      <w:r w:rsidRPr="00B07F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Prezentarea a două soluții de intervenție</w:t>
      </w:r>
      <w:bookmarkEnd w:id="6"/>
    </w:p>
    <w:p w14:paraId="065779E8" w14:textId="77777777" w:rsidR="00B07FD4" w:rsidRDefault="00B07FD4" w:rsidP="00B07FD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Soluțiile pentru reabilitarea structurii rutiere existente a drumului sunt stabilite conform stării tehnice actuale, funcție de zestrea existentă și de traficul de perspectivă. </w:t>
      </w:r>
    </w:p>
    <w:p w14:paraId="6291D022" w14:textId="77777777" w:rsidR="00631442" w:rsidRPr="00B07FD4" w:rsidRDefault="00631442" w:rsidP="00B07FD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EC67F6" w14:textId="77777777" w:rsidR="00B07FD4" w:rsidRPr="00B07FD4" w:rsidRDefault="00B07FD4" w:rsidP="00B07FD4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B07FD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PARTEA CAROSABILĂ:</w:t>
      </w:r>
    </w:p>
    <w:p w14:paraId="5C5D286D" w14:textId="77777777" w:rsidR="00B07FD4" w:rsidRPr="00B07FD4" w:rsidRDefault="00B07FD4" w:rsidP="00B07FD4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Varianta 1 – sistem rutier semi rigid:</w:t>
      </w:r>
    </w:p>
    <w:p w14:paraId="7CE4B230" w14:textId="77777777" w:rsidR="00B07FD4" w:rsidRPr="00B07FD4" w:rsidRDefault="00B07FD4" w:rsidP="00B07FD4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desfacerea sistemului rutier existent;</w:t>
      </w:r>
    </w:p>
    <w:p w14:paraId="6C94DE69" w14:textId="77777777" w:rsidR="00B07FD4" w:rsidRPr="00B07FD4" w:rsidRDefault="00B07FD4" w:rsidP="00B07FD4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săpătură generală la cota de -70 cm;</w:t>
      </w:r>
    </w:p>
    <w:p w14:paraId="26254F78" w14:textId="77777777" w:rsidR="00B07FD4" w:rsidRPr="00B07FD4" w:rsidRDefault="00B07FD4" w:rsidP="00B07FD4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 cm strat de formă de balast conform STAS 6400-84 SR EN 13242+A1:2008;</w:t>
      </w:r>
    </w:p>
    <w:p w14:paraId="006662AC" w14:textId="77777777" w:rsidR="00B07FD4" w:rsidRPr="00B07FD4" w:rsidRDefault="00B07FD4" w:rsidP="00B07FD4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 cm strat de fundație de balast conform STAS 6400-84 SR EN 13242+A1:2008;</w:t>
      </w:r>
    </w:p>
    <w:p w14:paraId="72E41D2C" w14:textId="77777777" w:rsidR="00B07FD4" w:rsidRPr="00B07FD4" w:rsidRDefault="00B07FD4" w:rsidP="00B07FD4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20cm strat de bază din piatră spată amestec optimal(STAS 6400-84 SR EN 13242+A1:2008);</w:t>
      </w:r>
    </w:p>
    <w:p w14:paraId="34402622" w14:textId="77777777" w:rsidR="00B07FD4" w:rsidRPr="00B07FD4" w:rsidRDefault="00B07FD4" w:rsidP="00B07FD4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  cm strat de legătură binder BAD22,4 leg 50/70 conform AND605/2016;</w:t>
      </w:r>
    </w:p>
    <w:p w14:paraId="1C03C60A" w14:textId="77777777" w:rsidR="00B07FD4" w:rsidRPr="00B07FD4" w:rsidRDefault="00B07FD4" w:rsidP="00B07FD4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 cm strat de uzură din beton asfaltic BA16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rul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50/70 conform AND605/2016.</w:t>
      </w:r>
    </w:p>
    <w:p w14:paraId="57D11F62" w14:textId="77777777" w:rsidR="00B07FD4" w:rsidRPr="00B07FD4" w:rsidRDefault="00B07FD4" w:rsidP="00B07FD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ADE3D2" w14:textId="77777777" w:rsidR="00B07FD4" w:rsidRPr="00B07FD4" w:rsidRDefault="00B07FD4" w:rsidP="00B07FD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Varianta 2 – sistem rutier rigid:</w:t>
      </w:r>
    </w:p>
    <w:p w14:paraId="0609B460" w14:textId="77777777" w:rsidR="00B07FD4" w:rsidRPr="00B07FD4" w:rsidRDefault="00B07FD4" w:rsidP="00B07FD4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desfacerea sistemului rutier existent;</w:t>
      </w:r>
    </w:p>
    <w:p w14:paraId="3D598C7C" w14:textId="77777777" w:rsidR="00B07FD4" w:rsidRPr="00B07FD4" w:rsidRDefault="00B07FD4" w:rsidP="00B07FD4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săpătură generală la cota de -65 cm;</w:t>
      </w:r>
    </w:p>
    <w:p w14:paraId="2F6F4112" w14:textId="77777777" w:rsidR="00B07FD4" w:rsidRPr="00B07FD4" w:rsidRDefault="00B07FD4" w:rsidP="00B07FD4">
      <w:pPr>
        <w:widowControl w:val="0"/>
        <w:numPr>
          <w:ilvl w:val="0"/>
          <w:numId w:val="29"/>
        </w:numPr>
        <w:tabs>
          <w:tab w:val="left" w:pos="147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10 cm strat de forma din pietruirea recuperata cu eventual aport de balast sau nisip conform STAS 12253;</w:t>
      </w:r>
    </w:p>
    <w:p w14:paraId="5A202914" w14:textId="77777777" w:rsidR="00B07FD4" w:rsidRPr="00B07FD4" w:rsidRDefault="00B07FD4" w:rsidP="00B07FD4">
      <w:pPr>
        <w:widowControl w:val="0"/>
        <w:numPr>
          <w:ilvl w:val="0"/>
          <w:numId w:val="29"/>
        </w:numPr>
        <w:tabs>
          <w:tab w:val="left" w:pos="147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30 cm strat de balast, conform STAS 6400-84 si SR EN 13242+A1:2010/C91:2022; </w:t>
      </w:r>
    </w:p>
    <w:p w14:paraId="1ED4C06E" w14:textId="77777777" w:rsidR="00B07FD4" w:rsidRPr="00B07FD4" w:rsidRDefault="00B07FD4" w:rsidP="00B07FD4">
      <w:pPr>
        <w:widowControl w:val="0"/>
        <w:numPr>
          <w:ilvl w:val="0"/>
          <w:numId w:val="29"/>
        </w:numPr>
        <w:tabs>
          <w:tab w:val="left" w:pos="147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Hârtie Kraft sau folie de polietilena;</w:t>
      </w:r>
    </w:p>
    <w:p w14:paraId="62E6FF78" w14:textId="77777777" w:rsidR="00B07FD4" w:rsidRPr="00B07FD4" w:rsidRDefault="00B07FD4" w:rsidP="00B07FD4">
      <w:pPr>
        <w:widowControl w:val="0"/>
        <w:numPr>
          <w:ilvl w:val="0"/>
          <w:numId w:val="29"/>
        </w:numPr>
        <w:tabs>
          <w:tab w:val="left" w:pos="147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2 cm nisip;</w:t>
      </w:r>
    </w:p>
    <w:p w14:paraId="52E391AF" w14:textId="77777777" w:rsidR="00B07FD4" w:rsidRPr="00B07FD4" w:rsidRDefault="00B07FD4" w:rsidP="00B07FD4">
      <w:pPr>
        <w:widowControl w:val="0"/>
        <w:numPr>
          <w:ilvl w:val="0"/>
          <w:numId w:val="29"/>
        </w:numPr>
        <w:tabs>
          <w:tab w:val="left" w:pos="147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20 cm strat din BCR4.0 conform SR 183-1/1995 si STAS 6400;</w:t>
      </w:r>
    </w:p>
    <w:p w14:paraId="7F58C069" w14:textId="77777777" w:rsidR="00B07FD4" w:rsidRPr="00B07FD4" w:rsidRDefault="00B07FD4" w:rsidP="00B07FD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DA742F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B07FD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Avantaje și dezavantaje structură rutieră suplă</w:t>
      </w:r>
    </w:p>
    <w:p w14:paraId="79A7E23F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B07FD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Avantaje </w:t>
      </w:r>
    </w:p>
    <w:p w14:paraId="389F8D6A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grosimea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imbrăcămintii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asfaltice poate fi etapizata, putându-se realiza in mai multe straturi;</w:t>
      </w:r>
    </w:p>
    <w:p w14:paraId="5C00DF2B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greşelile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execuţie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 fi remediate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uşor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 mai ieftin decât in cazul sistemelor rutiere rigide;</w:t>
      </w:r>
    </w:p>
    <w:p w14:paraId="287E4F49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remedierea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defecţiunilor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suprafață se poate face mult mai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uşor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 local.</w:t>
      </w:r>
    </w:p>
    <w:p w14:paraId="10B4751F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valoare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investiţie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mai mica decât in cazul sistemelor rutiere rigide</w:t>
      </w:r>
    </w:p>
    <w:p w14:paraId="75FDD251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rularea este mai silențioasă neexistând rosturi precum cele de la dalele de beton</w:t>
      </w:r>
    </w:p>
    <w:p w14:paraId="257A6623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se pot da in folosință la scurt timp după execuție</w:t>
      </w:r>
    </w:p>
    <w:p w14:paraId="63AD182A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in cazul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intervenţiilor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sau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investiţiilor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instalaţiile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subterane acestea se vor putea face prin tăierea, decaparea si săparea strict pe zona de intervenție.</w:t>
      </w:r>
    </w:p>
    <w:p w14:paraId="02850018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B07FD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Dezavantaje </w:t>
      </w:r>
    </w:p>
    <w:p w14:paraId="43613D5C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La temperaturi ridicate apar deformații ale părții carosabile</w:t>
      </w:r>
    </w:p>
    <w:p w14:paraId="047BC573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Prepararea betonului asfaltic produce si emana noxe in atmosfera</w:t>
      </w:r>
    </w:p>
    <w:p w14:paraId="1B527AC9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posibilitatea apariției degradărilor la îmbrăcămintea asfaltica in rosturile longitudinale si de lucru, daca acestea nu sunt tratate corespunzător in faza de execuție.</w:t>
      </w:r>
    </w:p>
    <w:p w14:paraId="463D38BA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Durata de serviciu este mai mica (numai 10-15 ani) decât 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îmbrăcămintii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beton de ciment (20-30 ani).</w:t>
      </w:r>
    </w:p>
    <w:p w14:paraId="35B60AE4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Durata normală de funcționare conform H.G. 2.139/30.11.2004 este de 25 ani.</w:t>
      </w:r>
    </w:p>
    <w:p w14:paraId="23CCA612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0BC0D3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B07FD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Avantaje și dezavantaje structură rutieră rigidă</w:t>
      </w:r>
    </w:p>
    <w:p w14:paraId="46F15903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B07FD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Avantaje </w:t>
      </w:r>
    </w:p>
    <w:p w14:paraId="33F09365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atestă rezistențe mecanice mai mari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prin urmare se pretează pe drumuri cu trafic foarte intens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greu; </w:t>
      </w:r>
    </w:p>
    <w:p w14:paraId="2F535239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sunt rezistente la uzură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acţiunea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agenţilor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atmosferici, fiind indicate în regiuni cu climat umed;</w:t>
      </w:r>
    </w:p>
    <w:p w14:paraId="2A8627F4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având o culoare deschisă, prezintă o vizibilitate mai bună, ceea ce permite o circulație mai sigură în diferite condiții nefavorabile (noaptea, ploaie,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ceaţă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etc.);</w:t>
      </w:r>
    </w:p>
    <w:p w14:paraId="77B78DE9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la temperaturi ridicate ale mediului înconjurător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sub acțiunea traficului greu chiar în zonele cu frânări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accelerări dese, nu sunt sensibile la deformații (văluriri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făgașe), cum se constată uneori în cazul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îmbrăcăminţilor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bituminoase;</w:t>
      </w:r>
    </w:p>
    <w:p w14:paraId="57CC0E6B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au un grad de rugozitate ridicat, asigurând, chiar în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condiţii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umezire 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suprafeţei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viteze mari de circulație,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siguranţă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exploatare;</w:t>
      </w:r>
    </w:p>
    <w:p w14:paraId="4A51F291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nu sunt atacate de carburanți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lubrifianţi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fiind indicate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pentru locuri de parcare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staţionare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autovehiculelor;</w:t>
      </w:r>
    </w:p>
    <w:p w14:paraId="44D37A65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− permit folosirea în mai mare măsură a materialelor locale;</w:t>
      </w:r>
    </w:p>
    <w:p w14:paraId="000B46BE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sunt mai avantajoase din punct de vedere energetic, având un consum specific de energie cu 50…90 % mai mic decât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îmbrăcăminţile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bituminoase. </w:t>
      </w:r>
    </w:p>
    <w:p w14:paraId="4BA59687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pot fi realizate pentru durate de exploatare relativ ridicate (20…30 ani), chiar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pentru trafic rutier intens;</w:t>
      </w:r>
    </w:p>
    <w:p w14:paraId="2A8C9907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bună parte dintre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defecţiunile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 apar (cum sunt fisurile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crăpăturile, decolmatarea rosturilor sau exfolierea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suprafeţei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rulare) nu deranjează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desfăşurarea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normală 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circulaţiei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autovehiculelor, în prima fază 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evoluţiei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acestora;</w:t>
      </w:r>
    </w:p>
    <w:p w14:paraId="6ED77CCE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cheltuielile totale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execuţie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întreţinere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 perioada lor de exploatare sunt mai reduse decât cele aferente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soluţiilor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îmbrăcăminţi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rutiere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nerigide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pentru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aceeaşi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perioadă de timp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acelaşi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trafic rutier intens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greu.</w:t>
      </w:r>
    </w:p>
    <w:p w14:paraId="5BDBCDD1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73A2D2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B07FD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Dezavantaje </w:t>
      </w:r>
    </w:p>
    <w:p w14:paraId="613A083C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cheltuielile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iniţiale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construcţie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sunt relativ mari;</w:t>
      </w:r>
    </w:p>
    <w:p w14:paraId="0A5ADD9C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posibilităţile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ranforsare a structurilor rutiere cu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îmbrăcăminţi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rigide, pentru adaptarea lor la un trafic rutier sporit, impun tehnologii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execuţie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mai complexe;</w:t>
      </w:r>
    </w:p>
    <w:p w14:paraId="5AF46E28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existenţa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rosturilor transversale în îmbrăcămintea rutieră din beton de ciment deranjează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circulaţia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autovehiculelor, atât datorită colmatării în exces a acestora cu mastic bituminos, cât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datorită eventualelor tasări ale dalelor provocate de neuniformitatea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capacităţii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portante a terenului de fundare de-a lungul drumului. Din cauza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rigidităţii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dalelor,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îmbrăcăminţile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din beton de ciment nu pot urma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deformaţiile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straturilor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fundaţie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iar în cazul unor tasări inegale ale terenului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fundaţie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dalele fisurează, degradându-se;</w:t>
      </w:r>
    </w:p>
    <w:p w14:paraId="6E32CF1E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defecţiunile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care pot să apară în îmbrăcămintea rutieră din beton de ciment din cauza unor eventuale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greşeli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execuţie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sau de subdimensionare a structurii rutiere se elimină foarte greu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cheltuieli însemnate;</w:t>
      </w:r>
    </w:p>
    <w:p w14:paraId="2E40A2E4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îmbrăcămintea rutieră din beton de ciment nu se poate da în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circulaţie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decât după ce betonul atestă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rezistenţe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mecanice corespunzătoare (de regulă 3 săptămâni);</w:t>
      </w:r>
    </w:p>
    <w:p w14:paraId="00B5DB60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− asigurarea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condiţiilor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normale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circulaţie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 timp de iarnă impune metode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acţionare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mai anevoioase, având în vedere că nu se recomandă utilizarea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fondanţilor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chimici la deszăpezire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combaterea poleiului;</w:t>
      </w:r>
    </w:p>
    <w:p w14:paraId="5BAD9D7B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− nu se pretează la ameliorări progresive prin consolidări succesive ale structurii rutiere în funcție de necesitățile impuse de trafic;</w:t>
      </w:r>
    </w:p>
    <w:p w14:paraId="2E7F6CF3" w14:textId="77777777" w:rsidR="00B07FD4" w:rsidRPr="00B07FD4" w:rsidRDefault="00B07FD4" w:rsidP="00B07FD4">
      <w:pPr>
        <w:adjustRightInd w:val="0"/>
        <w:spacing w:after="0" w:line="276" w:lineRule="auto"/>
        <w:ind w:firstLine="70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− este necesară uneori construirea de variante pentru circulația curentă, care nu se poate desfășura normal pe sectorul de drum în timpul execuției îmbrăcămintei din beton de ciment.</w:t>
      </w:r>
    </w:p>
    <w:p w14:paraId="50841525" w14:textId="77777777" w:rsidR="00B07FD4" w:rsidRPr="00B07FD4" w:rsidRDefault="00B07FD4" w:rsidP="00B07FD4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2BFD70" w14:textId="77777777" w:rsidR="00B07FD4" w:rsidRPr="00B07FD4" w:rsidRDefault="00B07FD4" w:rsidP="00B07FD4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Expertul Tehnic recomandă VARIANTA 1, </w:t>
      </w: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având multiple avantaje tehnice cum ar fi:</w:t>
      </w:r>
    </w:p>
    <w:p w14:paraId="10A69917" w14:textId="77777777" w:rsidR="00B07FD4" w:rsidRPr="00B07FD4" w:rsidRDefault="00B07FD4" w:rsidP="00B07FD4">
      <w:pPr>
        <w:numPr>
          <w:ilvl w:val="0"/>
          <w:numId w:val="28"/>
        </w:numPr>
        <w:spacing w:after="6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Grosimea structurii asfaltice poate fi etapizată.</w:t>
      </w:r>
    </w:p>
    <w:p w14:paraId="624BD44E" w14:textId="77777777" w:rsidR="00B07FD4" w:rsidRPr="00B07FD4" w:rsidRDefault="00B07FD4" w:rsidP="00B07FD4">
      <w:pPr>
        <w:numPr>
          <w:ilvl w:val="0"/>
          <w:numId w:val="28"/>
        </w:numPr>
        <w:spacing w:after="6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Capacitatea portantă poate crește progresiv prin investiții etapizate.</w:t>
      </w:r>
    </w:p>
    <w:p w14:paraId="121CA315" w14:textId="77777777" w:rsidR="00B07FD4" w:rsidRPr="00B07FD4" w:rsidRDefault="00B07FD4" w:rsidP="00B07FD4">
      <w:pPr>
        <w:numPr>
          <w:ilvl w:val="0"/>
          <w:numId w:val="28"/>
        </w:numPr>
        <w:spacing w:after="6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Greșelile de execuție pot fi remediate ușor față de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îmbrăcămințile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beton de ciment.</w:t>
      </w:r>
    </w:p>
    <w:p w14:paraId="6FA921EF" w14:textId="77777777" w:rsidR="00B07FD4" w:rsidRPr="00B07FD4" w:rsidRDefault="00B07FD4" w:rsidP="00B07FD4">
      <w:pPr>
        <w:numPr>
          <w:ilvl w:val="0"/>
          <w:numId w:val="28"/>
        </w:numPr>
        <w:spacing w:after="6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costuri de execuție mai reduse;</w:t>
      </w:r>
    </w:p>
    <w:p w14:paraId="4687CEB3" w14:textId="77777777" w:rsidR="00B07FD4" w:rsidRPr="00B07FD4" w:rsidRDefault="00B07FD4" w:rsidP="00B07FD4">
      <w:pPr>
        <w:numPr>
          <w:ilvl w:val="0"/>
          <w:numId w:val="28"/>
        </w:numPr>
        <w:spacing w:after="6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prezintă un confort de rulare mai mare decât </w:t>
      </w:r>
      <w:proofErr w:type="spellStart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îmbrăcămințile</w:t>
      </w:r>
      <w:proofErr w:type="spellEnd"/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beton de ciment (prin lipsa rosturilor);</w:t>
      </w:r>
    </w:p>
    <w:p w14:paraId="6311930D" w14:textId="77777777" w:rsidR="00B07FD4" w:rsidRPr="00B07FD4" w:rsidRDefault="00B07FD4" w:rsidP="00B07FD4">
      <w:pPr>
        <w:numPr>
          <w:ilvl w:val="0"/>
          <w:numId w:val="28"/>
        </w:numPr>
        <w:spacing w:after="6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 pot realiza și pe trasee ce conțin și raze mici respectiv supralărgiri, fără a necesita rosturi între calea cu curentă și calea în curbă;</w:t>
      </w:r>
    </w:p>
    <w:p w14:paraId="34433463" w14:textId="77777777" w:rsidR="00B07FD4" w:rsidRPr="00B07FD4" w:rsidRDefault="00B07FD4" w:rsidP="00B07FD4">
      <w:pPr>
        <w:numPr>
          <w:ilvl w:val="0"/>
          <w:numId w:val="28"/>
        </w:numPr>
        <w:spacing w:after="6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7F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rugozitatea suprafeței poate fi sporită prin tratamente bituminoase, asigurându-se circulația și pentru declivități cu valori de 7-9%.</w:t>
      </w:r>
    </w:p>
    <w:p w14:paraId="0C07FE91" w14:textId="77777777" w:rsidR="009E5B5E" w:rsidRDefault="009E5B5E" w:rsidP="009E5B5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CE0E708" w14:textId="77777777" w:rsidR="00631442" w:rsidRDefault="00631442" w:rsidP="009E5B5E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5C377E9" w14:textId="77777777" w:rsidR="002177F5" w:rsidRDefault="002177F5" w:rsidP="009E5B5E">
      <w:pPr>
        <w:spacing w:after="5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61A27060" w14:textId="5B51374D" w:rsidR="00C43A2B" w:rsidRDefault="00C43A2B" w:rsidP="009E5B5E">
      <w:pPr>
        <w:spacing w:after="5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Principalii indicatori </w:t>
      </w:r>
      <w:proofErr w:type="spellStart"/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tehnico</w:t>
      </w:r>
      <w:proofErr w:type="spellEnd"/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-economici </w:t>
      </w:r>
      <w:proofErr w:type="spellStart"/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obiectului de </w:t>
      </w:r>
      <w:proofErr w:type="spellStart"/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investiţii</w:t>
      </w:r>
      <w:proofErr w:type="spellEnd"/>
    </w:p>
    <w:p w14:paraId="0970CFE1" w14:textId="77777777" w:rsidR="004F47B5" w:rsidRPr="007667CD" w:rsidRDefault="004F47B5" w:rsidP="00C43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01C8E137" w14:textId="77777777" w:rsidR="002F724E" w:rsidRPr="007667CD" w:rsidRDefault="002F724E" w:rsidP="002F724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bookmarkStart w:id="7" w:name="_Hlk222223205"/>
      <w:bookmarkStart w:id="8" w:name="_Hlk213158690"/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Valoarea totală a </w:t>
      </w:r>
      <w:proofErr w:type="spellStart"/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investiţiei</w:t>
      </w:r>
      <w:proofErr w:type="spellEnd"/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cu detalierea pe structura devizului general </w:t>
      </w:r>
    </w:p>
    <w:p w14:paraId="1274A82A" w14:textId="10FFDC68" w:rsidR="002F724E" w:rsidRPr="007667CD" w:rsidRDefault="002F724E" w:rsidP="002F724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</w:t>
      </w:r>
      <w:proofErr w:type="spellStart"/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investiţiei</w:t>
      </w:r>
      <w:proofErr w:type="spellEnd"/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este de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1.4</w:t>
      </w:r>
      <w:r w:rsidR="007667CD"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17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="007667CD"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549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</w:t>
      </w:r>
      <w:r w:rsidR="007667CD"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92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la care se adaugă TVA, respectiv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1.7</w:t>
      </w:r>
      <w:r w:rsidR="007667CD"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12.850,32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lei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cu TVA inclus  </w:t>
      </w:r>
    </w:p>
    <w:p w14:paraId="20641B0B" w14:textId="4F7F02FF" w:rsidR="002F724E" w:rsidRPr="007667CD" w:rsidRDefault="002F724E" w:rsidP="002F724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din care C+M 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</w:t>
      </w:r>
      <w:r w:rsidR="007667CD"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96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="007667CD"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143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,00 lei</w:t>
      </w:r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la care se adaugă TVA, respectiv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1.0</w:t>
      </w:r>
      <w:r w:rsidR="007667CD"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84.333,03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TVA inclus</w:t>
      </w:r>
      <w:bookmarkEnd w:id="7"/>
    </w:p>
    <w:p w14:paraId="08EF78F2" w14:textId="77777777" w:rsidR="00DB113D" w:rsidRPr="00DB113D" w:rsidRDefault="00DB113D" w:rsidP="00DB113D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A7B8604" w14:textId="2A1F2C33" w:rsidR="00C43A2B" w:rsidRPr="006D3F5B" w:rsidRDefault="00C43A2B" w:rsidP="004F47B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6D3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Capacităţi: 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Obiectivul de investiţii are următoarele caracteristici:</w:t>
      </w:r>
    </w:p>
    <w:p w14:paraId="5F4E4D19" w14:textId="2013AB2A" w:rsidR="00C43A2B" w:rsidRPr="006D3F5B" w:rsidRDefault="00C43A2B" w:rsidP="00C43A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" w:name="_Hlk213158171"/>
      <w:bookmarkStart w:id="10" w:name="_Hlk212791915"/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Lungime drum totală                    =      </w:t>
      </w:r>
      <w:r w:rsidR="00EA60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372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EA60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F096DD" w14:textId="22E5EB7E" w:rsidR="00C43A2B" w:rsidRPr="006D3F5B" w:rsidRDefault="00C43A2B" w:rsidP="00C43A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Suprafaţa</w:t>
      </w:r>
      <w:proofErr w:type="spellEnd"/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carosabilă amenajată    =   </w:t>
      </w:r>
      <w:r w:rsidR="00372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84</w:t>
      </w:r>
      <w:r w:rsidR="00EA60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7DD893DE" w14:textId="089DE823" w:rsidR="00C43A2B" w:rsidRPr="006D3F5B" w:rsidRDefault="00C43A2B" w:rsidP="00C43A2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Suprafață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trotuare                         =     </w:t>
      </w:r>
      <w:r w:rsidR="00EA60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3726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p.</w:t>
      </w:r>
    </w:p>
    <w:bookmarkEnd w:id="9"/>
    <w:p w14:paraId="78ADA7F4" w14:textId="77777777" w:rsidR="00C43A2B" w:rsidRPr="006D3F5B" w:rsidRDefault="00C43A2B" w:rsidP="00C43A2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    Iluminat public și rețea FO</w:t>
      </w:r>
    </w:p>
    <w:bookmarkEnd w:id="8"/>
    <w:bookmarkEnd w:id="10"/>
    <w:p w14:paraId="391122AB" w14:textId="77777777" w:rsidR="00C43A2B" w:rsidRPr="009E5B5E" w:rsidRDefault="00C43A2B" w:rsidP="00C43A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it-IT"/>
          <w14:ligatures w14:val="none"/>
        </w:rPr>
      </w:pPr>
    </w:p>
    <w:p w14:paraId="616BCAAB" w14:textId="078784FB" w:rsidR="00C43A2B" w:rsidRPr="002E1A74" w:rsidRDefault="00C43A2B" w:rsidP="00C43A2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ab/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cele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prezentate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propunem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spre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Local Municipal Târgu-Mureş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Documentația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r w:rsidRPr="006D3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indicatorii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tehnico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-economici, conform D.A.L.I. anexat, pentru obiectivul de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investiţii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D3F5B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„</w:t>
      </w:r>
      <w:r w:rsidR="006D3F5B" w:rsidRPr="006D3F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D3F5B" w:rsidRPr="006D3F5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Modernizare strada </w:t>
      </w:r>
      <w:r w:rsidR="00EA60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Pădurii</w:t>
      </w:r>
      <w:r w:rsidR="006D3F5B" w:rsidRPr="006D3F5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SF/DALI</w:t>
      </w:r>
      <w:r w:rsidRPr="002E1A74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”.</w:t>
      </w:r>
    </w:p>
    <w:p w14:paraId="77694C94" w14:textId="77777777" w:rsidR="00C43A2B" w:rsidRPr="00C43A2B" w:rsidRDefault="00C43A2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DABB657" w14:textId="77777777" w:rsidR="00C43A2B" w:rsidRDefault="00C43A2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5ED0E96" w14:textId="77777777" w:rsidR="00EE67CA" w:rsidRDefault="00EE67CA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090283C" w14:textId="77777777" w:rsidR="00EE67CA" w:rsidRPr="00C43A2B" w:rsidRDefault="00EE67CA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D2E253E" w14:textId="063B3F2D" w:rsidR="00B83252" w:rsidRPr="00C43A2B" w:rsidRDefault="00C43A2B" w:rsidP="00B83252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</w:t>
      </w:r>
      <w:r w:rsidR="00B832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gramStart"/>
      <w:r w:rsidR="00B832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Viceprimar,</w:t>
      </w:r>
      <w:r w:rsidR="00B83252"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gramEnd"/>
      <w:r w:rsidR="00B83252"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="00B8325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</w:t>
      </w:r>
      <w:r w:rsidR="00B83252"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proofErr w:type="gramStart"/>
      <w:r w:rsidR="00B83252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</w:t>
      </w:r>
      <w:proofErr w:type="gramEnd"/>
      <w:r w:rsidR="00B83252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="00B83252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exec</w:t>
      </w:r>
      <w:r w:rsidR="00B8325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utiv</w:t>
      </w:r>
      <w:proofErr w:type="spellEnd"/>
    </w:p>
    <w:p w14:paraId="5E577E6F" w14:textId="77777777" w:rsidR="00B83252" w:rsidRPr="00C43A2B" w:rsidRDefault="00B83252" w:rsidP="00B83252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Călin Moldovan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ing.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Racz Lucian</w:t>
      </w:r>
    </w:p>
    <w:p w14:paraId="45E64236" w14:textId="5D9A4A07" w:rsidR="00C43A2B" w:rsidRPr="00C43A2B" w:rsidRDefault="00C43A2B" w:rsidP="00B83252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4B4DBE8" w14:textId="77777777" w:rsidR="00C43A2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AE1B93B" w14:textId="77777777" w:rsidR="00B83252" w:rsidRDefault="00B83252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144B768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E2D1C83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E1FF7CF" w14:textId="77777777" w:rsidR="00EE67CA" w:rsidRPr="00C43A2B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9650D0D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4B28749" w14:textId="6A470569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Aviz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r w:rsidR="002F724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Aviz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</w:p>
    <w:p w14:paraId="6FFCD402" w14:textId="7D0B482C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DIRECTOR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Direcția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Economică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 SPADP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</w:t>
      </w:r>
    </w:p>
    <w:p w14:paraId="36D33719" w14:textId="77777777" w:rsid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ec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Anca Fodor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ing. Florian Moldovan   </w:t>
      </w:r>
    </w:p>
    <w:p w14:paraId="11597075" w14:textId="77777777" w:rsidR="006D3F5B" w:rsidRDefault="006D3F5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427DD2B" w14:textId="0A9235E5" w:rsidR="0071689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</w:t>
      </w:r>
    </w:p>
    <w:p w14:paraId="581FF1AA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1095539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E43F87C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DFB2F3D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8B6591E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811974D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8F7179E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70C16C3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846A454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95C42D9" w14:textId="77777777" w:rsidR="00372694" w:rsidRDefault="00372694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4C654F4" w14:textId="77777777" w:rsidR="00372694" w:rsidRDefault="00372694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DE198F5" w14:textId="77777777" w:rsidR="00EE67CA" w:rsidRDefault="00EE67CA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46A5103" w14:textId="77777777" w:rsidR="0071689B" w:rsidRDefault="0071689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13CF210" w14:textId="77777777" w:rsidR="00DB113D" w:rsidRDefault="00DB113D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07456F1" w14:textId="6ADAB0B3" w:rsidR="00C43A2B" w:rsidRPr="00C43A2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A37FB53" w14:textId="77777777" w:rsidR="00C43A2B" w:rsidRPr="00C43A2B" w:rsidRDefault="00C43A2B" w:rsidP="00C43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</w:pPr>
    </w:p>
    <w:p w14:paraId="2D893172" w14:textId="1FBA16CB" w:rsidR="00C43A2B" w:rsidRDefault="00C43A2B" w:rsidP="006D3F5B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şi</w:t>
      </w:r>
      <w:proofErr w:type="spellEnd"/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 produc efecte juridice după îndeplinirea </w:t>
      </w:r>
      <w:proofErr w:type="spellStart"/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condiţiilor</w:t>
      </w:r>
      <w:proofErr w:type="spellEnd"/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 prevăzute de art. 129, art. 139 din O.U.G. nr. 57/2019 privind Codul Administrativ</w:t>
      </w:r>
    </w:p>
    <w:p w14:paraId="5214E8C0" w14:textId="77777777" w:rsidR="002E1A74" w:rsidRDefault="002E1A74" w:rsidP="006D3F5B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</w:p>
    <w:p w14:paraId="20B97B97" w14:textId="77777777" w:rsidR="002E1A74" w:rsidRDefault="002E1A74" w:rsidP="006D3F5B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</w:p>
    <w:p w14:paraId="1E026C98" w14:textId="77777777" w:rsidR="002E1A74" w:rsidRPr="006D3F5B" w:rsidRDefault="002E1A74" w:rsidP="006D3F5B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</w:p>
    <w:p w14:paraId="033AAE6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ROMÂNIA      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Proiect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</w:p>
    <w:p w14:paraId="7D41133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JUDEŢUL MUREŞ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                                                                            </w:t>
      </w:r>
      <w:proofErr w:type="gram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(</w:t>
      </w:r>
      <w:proofErr w:type="spellStart"/>
      <w:proofErr w:type="gram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nu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produce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efecte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juridice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) *</w:t>
      </w:r>
    </w:p>
    <w:p w14:paraId="448AD324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CONSILIUL LOCAL MUNICIPAL TÂRGU MUREŞ </w:t>
      </w:r>
    </w:p>
    <w:p w14:paraId="1CD2D270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Iniţiator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proofErr w:type="gram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PRIMAR</w:t>
      </w:r>
      <w:proofErr w:type="gramEnd"/>
    </w:p>
    <w:p w14:paraId="5EDFDBAB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So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ós Zoltán</w:t>
      </w:r>
    </w:p>
    <w:p w14:paraId="4CFB05D0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51ADC78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</w:p>
    <w:p w14:paraId="0288D49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H O T Ă R Â R E A    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nr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. ______</w:t>
      </w:r>
    </w:p>
    <w:p w14:paraId="56516FE3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D3E440B" w14:textId="61E08973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din _____________________ 202</w:t>
      </w:r>
      <w:r w:rsidR="006E26D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6</w:t>
      </w:r>
    </w:p>
    <w:p w14:paraId="28C505A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es-ES"/>
          <w14:ligatures w14:val="none"/>
        </w:rPr>
      </w:pPr>
    </w:p>
    <w:p w14:paraId="2977BA15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-  </w:t>
      </w:r>
    </w:p>
    <w:p w14:paraId="712A713F" w14:textId="3202F750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="0063144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ETAPA 1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obiectivului de investiţii</w:t>
      </w:r>
    </w:p>
    <w:p w14:paraId="044771E1" w14:textId="2A592E27" w:rsidR="00C43A2B" w:rsidRPr="00C43A2B" w:rsidRDefault="0071689B" w:rsidP="004F47B5">
      <w:pPr>
        <w:widowControl w:val="0"/>
        <w:tabs>
          <w:tab w:val="left" w:pos="-720"/>
        </w:tabs>
        <w:suppressAutoHyphens/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                          </w:t>
      </w:r>
      <w:r w:rsidR="0063144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="00C43A2B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Modernizare strada </w:t>
      </w:r>
      <w:r w:rsidR="00EA60C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Pădurii</w:t>
      </w:r>
      <w:r w:rsidR="00C43A2B"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r w:rsidR="00C43A2B" w:rsidRPr="00C43A2B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p w14:paraId="43E87F1C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</w:p>
    <w:p w14:paraId="74FB59C8" w14:textId="77777777" w:rsidR="004F47B5" w:rsidRDefault="004F47B5" w:rsidP="004F47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</w:p>
    <w:p w14:paraId="20645F55" w14:textId="44A47A79" w:rsidR="00C43A2B" w:rsidRPr="00C43A2B" w:rsidRDefault="00C43A2B" w:rsidP="004F47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:</w:t>
      </w:r>
    </w:p>
    <w:p w14:paraId="45A9FA8C" w14:textId="59ECFC68" w:rsidR="00C43A2B" w:rsidRPr="00C43A2B" w:rsidRDefault="00C43A2B" w:rsidP="004F47B5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referatul de aprobare nr.</w:t>
      </w:r>
      <w:r w:rsidR="00D16013" w:rsidRPr="00D160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E75CCB" w:rsidRPr="00E75C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7.471/335/DT/18.02.2026 </w:t>
      </w:r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inițiat de Primar prin </w:t>
      </w:r>
      <w:proofErr w:type="spellStart"/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Direcţia</w:t>
      </w:r>
      <w:proofErr w:type="spellEnd"/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Tehnică</w:t>
      </w:r>
      <w:bookmarkStart w:id="11" w:name="_Hlk2852973"/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bookmarkStart w:id="12" w:name="_Hlk105497324"/>
      <w:bookmarkStart w:id="13" w:name="_Hlk105497167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Modernizare strada </w:t>
      </w:r>
      <w:r w:rsidR="00EA60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Pădurii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12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bookmarkEnd w:id="13"/>
    <w:p w14:paraId="657C0F9A" w14:textId="25C09E45" w:rsidR="009847A7" w:rsidRPr="00E262AB" w:rsidRDefault="00C43A2B" w:rsidP="00E262A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bookmarkEnd w:id="11"/>
    </w:p>
    <w:p w14:paraId="636F6CD9" w14:textId="77777777" w:rsidR="009847A7" w:rsidRDefault="009847A7" w:rsidP="009847A7">
      <w:pPr>
        <w:widowControl w:val="0"/>
        <w:numPr>
          <w:ilvl w:val="0"/>
          <w:numId w:val="2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juridice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contencios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administrativ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administrație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publică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locală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44AF9BDF" w14:textId="77777777" w:rsidR="009847A7" w:rsidRDefault="009847A7" w:rsidP="009847A7">
      <w:pPr>
        <w:widowControl w:val="0"/>
        <w:numPr>
          <w:ilvl w:val="0"/>
          <w:numId w:val="2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Arhitect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șef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1FFB8817" w14:textId="77777777" w:rsidR="009847A7" w:rsidRDefault="009847A7" w:rsidP="009847A7">
      <w:pPr>
        <w:widowControl w:val="0"/>
        <w:numPr>
          <w:ilvl w:val="0"/>
          <w:numId w:val="2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comisiilor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cadrul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Consiliului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local al Municipiului Târgu Mureș;</w:t>
      </w:r>
    </w:p>
    <w:p w14:paraId="190C541A" w14:textId="60EA44FD" w:rsidR="00E262AB" w:rsidRDefault="009847A7" w:rsidP="009847A7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EFAA435" w14:textId="77777777" w:rsidR="009847A7" w:rsidRDefault="009847A7" w:rsidP="009847A7">
      <w:pPr>
        <w:spacing w:line="276" w:lineRule="auto"/>
        <w:ind w:left="284" w:firstLine="8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conformitate cu prevederile:</w:t>
      </w:r>
    </w:p>
    <w:p w14:paraId="107A3F07" w14:textId="77777777" w:rsidR="009847A7" w:rsidRDefault="009847A7" w:rsidP="009847A7">
      <w:pPr>
        <w:numPr>
          <w:ilvl w:val="0"/>
          <w:numId w:val="23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14" w:name="_Hlk80172456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66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pct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1 din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Ordonanţa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urgenţă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Guvernului nr. 114/2018 privind instituirea unor măsuri în domeniul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investiţiilor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publice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unor măsuri fiscal bugetare; </w:t>
      </w:r>
    </w:p>
    <w:p w14:paraId="3CD0A4BE" w14:textId="77777777" w:rsidR="009847A7" w:rsidRDefault="009847A7" w:rsidP="009847A7">
      <w:pPr>
        <w:numPr>
          <w:ilvl w:val="0"/>
          <w:numId w:val="23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Art. 7, art. 9 din 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14"/>
    <w:p w14:paraId="2B4CE584" w14:textId="77777777" w:rsidR="009847A7" w:rsidRDefault="009847A7" w:rsidP="009847A7">
      <w:pPr>
        <w:numPr>
          <w:ilvl w:val="0"/>
          <w:numId w:val="2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Legii nr. 24/2000 privind normele de tehnică legislativă pentru elaborarea actelor normative, republicată, cu modificările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completările ulterioare;</w:t>
      </w:r>
    </w:p>
    <w:p w14:paraId="400DC049" w14:textId="77777777" w:rsidR="009847A7" w:rsidRDefault="009847A7" w:rsidP="009847A7">
      <w:pPr>
        <w:numPr>
          <w:ilvl w:val="0"/>
          <w:numId w:val="2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1 alin. (2) din Legea nr. 500/2002 privind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finanţele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publice locale, cu modificările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ccompletările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ulterioare; </w:t>
      </w:r>
    </w:p>
    <w:p w14:paraId="6A96875C" w14:textId="77777777" w:rsidR="009847A7" w:rsidRDefault="009847A7" w:rsidP="009847A7">
      <w:pPr>
        <w:numPr>
          <w:ilvl w:val="0"/>
          <w:numId w:val="2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alin. (4), art.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44, alin. (1) și art. 45 al Legii nr. 273/2006 privind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finanţele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publice locale, cu modificările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completările ulterioare;</w:t>
      </w:r>
    </w:p>
    <w:p w14:paraId="2BD3C245" w14:textId="77777777" w:rsidR="009847A7" w:rsidRPr="00E0520F" w:rsidRDefault="009847A7" w:rsidP="009847A7">
      <w:pPr>
        <w:numPr>
          <w:ilvl w:val="0"/>
          <w:numId w:val="2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E052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Art. 129 alin. (1), alin. (2) lit. „b”, alin. (4) lit. „d”, art. 139 alin. (1) OUG nr. 57/05.07.2019 privind Codul administrativ, cu modificările </w:t>
      </w:r>
      <w:proofErr w:type="spellStart"/>
      <w:r w:rsidRPr="00E052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E052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completările ulterioare,</w:t>
      </w:r>
    </w:p>
    <w:p w14:paraId="500B7743" w14:textId="0F782B71" w:rsidR="00E0520F" w:rsidRDefault="00E0520F" w:rsidP="009847A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06DB6079" w14:textId="0E8416A0" w:rsidR="006E26D6" w:rsidRPr="00D17556" w:rsidRDefault="006E26D6" w:rsidP="006E26D6">
      <w:pPr>
        <w:suppressAutoHyphens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>În temeiul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>prevederilor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a</w:t>
      </w:r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rt. 129 alin. (1), alin. 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</w:t>
      </w:r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art. 139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art. 196,</w:t>
      </w:r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alin. (1)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li. „a” și ale art. 243, alin (1), lit. „a” din </w:t>
      </w:r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OUG nr. 57/05.07.2019 privind Codul administrativ, cu modificările </w:t>
      </w:r>
      <w:proofErr w:type="spellStart"/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175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completările ulterioare,</w:t>
      </w:r>
    </w:p>
    <w:p w14:paraId="64C0D95F" w14:textId="77777777" w:rsidR="009847A7" w:rsidRDefault="009847A7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6CEFC5C8" w14:textId="77777777" w:rsidR="008314B7" w:rsidRDefault="008314B7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38C64F" w14:textId="77777777" w:rsidR="009847A7" w:rsidRPr="00C43A2B" w:rsidRDefault="009847A7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E19709" w14:textId="77777777" w:rsidR="00C5667E" w:rsidRDefault="00C5667E" w:rsidP="004F47B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A0E14C5" w14:textId="102739D0" w:rsidR="00C43A2B" w:rsidRPr="00C43A2B" w:rsidRDefault="00C43A2B" w:rsidP="004F47B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H o t ă r ă </w:t>
      </w:r>
      <w:proofErr w:type="spellStart"/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ş</w:t>
      </w:r>
      <w:proofErr w:type="spellEnd"/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 e :</w:t>
      </w:r>
    </w:p>
    <w:p w14:paraId="5F82985B" w14:textId="6C0CCB91" w:rsidR="00C43A2B" w:rsidRPr="009F6363" w:rsidRDefault="00C43A2B" w:rsidP="003218A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EE0000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301BD245" w14:textId="2DB8D91C" w:rsidR="00C43A2B" w:rsidRPr="009F6363" w:rsidRDefault="00C43A2B" w:rsidP="004F47B5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Art.1.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aprobă </w:t>
      </w: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Documentația de Avizare a Lucrărilor de Intervenții 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pentru</w:t>
      </w:r>
      <w:r w:rsidR="009F6363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r w:rsidR="002465BF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obiectivul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bookmarkStart w:id="15" w:name="_Hlk212792072"/>
      <w:r w:rsidR="009F6363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”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Modernizare str. </w:t>
      </w:r>
      <w:r w:rsidR="00EA60CE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Pădurii</w:t>
      </w:r>
      <w:r w:rsidR="009F6363" w:rsidRPr="009F636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15"/>
      <w:r w:rsidR="00140030"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și </w:t>
      </w:r>
      <w:r w:rsidRPr="009F636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indicatorii </w:t>
      </w:r>
      <w:proofErr w:type="spellStart"/>
      <w:r w:rsidRPr="009F636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tehnico</w:t>
      </w:r>
      <w:proofErr w:type="spellEnd"/>
      <w:r w:rsidRPr="009F636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–economici</w:t>
      </w:r>
      <w:r w:rsidR="006314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ETAPA 1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conform anexei 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care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face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parte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integrantă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din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prezenta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hotărâre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, 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după cum urmează: </w:t>
      </w:r>
    </w:p>
    <w:p w14:paraId="0DB985A1" w14:textId="77777777" w:rsidR="009F6363" w:rsidRPr="009F6363" w:rsidRDefault="009F6363" w:rsidP="004F47B5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55506B" w14:textId="77777777" w:rsidR="007667CD" w:rsidRPr="007667CD" w:rsidRDefault="007667CD" w:rsidP="007667CD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Valoarea totală a </w:t>
      </w:r>
      <w:proofErr w:type="spellStart"/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investiţiei</w:t>
      </w:r>
      <w:proofErr w:type="spellEnd"/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cu detalierea pe structura devizului general </w:t>
      </w:r>
    </w:p>
    <w:p w14:paraId="55FACC0C" w14:textId="77777777" w:rsidR="007667CD" w:rsidRPr="007667CD" w:rsidRDefault="007667CD" w:rsidP="007667C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</w:t>
      </w:r>
      <w:proofErr w:type="spellStart"/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investiţiei</w:t>
      </w:r>
      <w:proofErr w:type="spellEnd"/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este de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1.417.549,92 lei</w:t>
      </w:r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la care se adaugă TVA, respectiv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1.712.850,32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lei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cu TVA inclus  </w:t>
      </w:r>
    </w:p>
    <w:p w14:paraId="42A4BE64" w14:textId="1172C486" w:rsidR="00EA60CE" w:rsidRDefault="007667CD" w:rsidP="007667CD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din care C+M 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896.143,00 lei</w:t>
      </w:r>
      <w:r w:rsidRPr="007667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la care se adaugă TVA, respectiv </w:t>
      </w:r>
      <w:r w:rsidRPr="0076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1.084.333,03 lei</w:t>
      </w:r>
      <w:r w:rsidRPr="007667C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TVA inclus</w:t>
      </w:r>
    </w:p>
    <w:p w14:paraId="3B98827A" w14:textId="77777777" w:rsidR="007667CD" w:rsidRPr="009E5B5E" w:rsidRDefault="007667CD" w:rsidP="007667CD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o-RO"/>
          <w14:ligatures w14:val="none"/>
        </w:rPr>
      </w:pPr>
    </w:p>
    <w:p w14:paraId="4528E323" w14:textId="77777777" w:rsidR="00EA60CE" w:rsidRPr="006D3F5B" w:rsidRDefault="00EA60CE" w:rsidP="00EA60CE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6D3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Capacităţi: 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Obiectivul de investiţii are următoarele caracteristici:</w:t>
      </w:r>
    </w:p>
    <w:p w14:paraId="4C9E8344" w14:textId="77777777" w:rsidR="00EA60CE" w:rsidRPr="006D3F5B" w:rsidRDefault="00EA60CE" w:rsidP="00EA60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Lungime drum totală                    =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173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ml.</w:t>
      </w:r>
    </w:p>
    <w:p w14:paraId="781EA177" w14:textId="77777777" w:rsidR="00EA60CE" w:rsidRPr="006D3F5B" w:rsidRDefault="00EA60CE" w:rsidP="00EA60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Suprafaţa</w:t>
      </w:r>
      <w:proofErr w:type="spellEnd"/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carosabilă amenajată    =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951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4A25434C" w14:textId="77777777" w:rsidR="00EA60CE" w:rsidRPr="006D3F5B" w:rsidRDefault="00EA60CE" w:rsidP="00EA60C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Suprafață trotuare                          =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119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12939833" w14:textId="77777777" w:rsidR="00EA60CE" w:rsidRPr="006D3F5B" w:rsidRDefault="00EA60CE" w:rsidP="00EA60CE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    Iluminat public și rețea FO</w:t>
      </w:r>
    </w:p>
    <w:p w14:paraId="52F56AAC" w14:textId="50BC37E5" w:rsid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D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A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L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I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este prezentat în Anexa nr. 1, anex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ă care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face parte integrantă din prezenta hotărâre.</w:t>
      </w:r>
    </w:p>
    <w:p w14:paraId="69902E68" w14:textId="77777777" w:rsidR="002177F5" w:rsidRDefault="002177F5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205AB990" w14:textId="08D69DF1" w:rsidR="002177F5" w:rsidRPr="002177F5" w:rsidRDefault="002177F5" w:rsidP="002177F5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177F5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Art. 2.</w:t>
      </w:r>
      <w:r w:rsidRPr="002177F5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2177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După clarificarea situației juridice a întregului teren necesar asigurării profilului transversal al corpului de drum conform documentației de urbanism aprobate, se va trece la amenajarea străzii conform planului de situație „ETAPA 2”</w:t>
      </w:r>
    </w:p>
    <w:p w14:paraId="34AF2205" w14:textId="2C75C8DF" w:rsidR="009F6363" w:rsidRPr="009F6363" w:rsidRDefault="009F6363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</w: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Art.2.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Se declară de utilitate publică de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inters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local obiectivul de investiții </w:t>
      </w:r>
      <w:r w:rsidRPr="002E1A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”</w:t>
      </w:r>
      <w:proofErr w:type="spellStart"/>
      <w:r w:rsidRPr="002E1A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Modernizare</w:t>
      </w:r>
      <w:proofErr w:type="spellEnd"/>
      <w:r w:rsidRPr="002E1A7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str. </w:t>
      </w:r>
      <w:proofErr w:type="spellStart"/>
      <w:r w:rsidR="00EA60CE" w:rsidRPr="002E1A74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GB"/>
          <w14:ligatures w14:val="none"/>
        </w:rPr>
        <w:t>Pădurii</w:t>
      </w:r>
      <w:proofErr w:type="spellEnd"/>
      <w:r w:rsidRPr="002E1A74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GB"/>
          <w14:ligatures w14:val="none"/>
        </w:rPr>
        <w:t>”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2C0A2F23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1DBF25B6" w14:textId="761D63BE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9F636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3</w:t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Cu aducere la îndeplinire a prevederilor prezentei hotărâri se încredin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ează Executivul Municipiului Târgu Mure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ș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prin Direc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ia Tehnică, Direc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ia Economică și Serviciul Public Administrația Domeniului Public.</w:t>
      </w:r>
    </w:p>
    <w:p w14:paraId="49168258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F9351E4" w14:textId="44906BBB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>Art.</w:t>
      </w:r>
      <w:r w:rsidR="009F6363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4</w:t>
      </w: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ului Mure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pentru exercitarea controlului de legalitate.</w:t>
      </w:r>
    </w:p>
    <w:p w14:paraId="51B9958F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AB60FF" w14:textId="55D94892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6" w:name="_Hlk80102638"/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</w:t>
      </w:r>
      <w:r w:rsidR="009F63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Prezenta hotărâre se comunică:</w:t>
      </w:r>
    </w:p>
    <w:p w14:paraId="64B4EC81" w14:textId="0620E76E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iei Tehnice</w:t>
      </w:r>
    </w:p>
    <w:p w14:paraId="0BE1F0DA" w14:textId="3A464C90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iei Economice</w:t>
      </w:r>
    </w:p>
    <w:p w14:paraId="75E18274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- Serviciul Public Administrația Domeniului Public</w:t>
      </w:r>
    </w:p>
    <w:bookmarkEnd w:id="16"/>
    <w:p w14:paraId="06D4D630" w14:textId="77777777" w:rsidR="00EA60CE" w:rsidRDefault="00EA60CE" w:rsidP="004F47B5">
      <w:pPr>
        <w:spacing w:after="100" w:afterAutospacing="1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EAD88" w14:textId="77777777" w:rsidR="00C43A2B" w:rsidRPr="00C43A2B" w:rsidRDefault="00C43A2B" w:rsidP="002F724E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541A64" w14:textId="6B1C86AF" w:rsidR="00C43A2B" w:rsidRPr="00C43A2B" w:rsidRDefault="002F724E" w:rsidP="002F724E">
      <w:pPr>
        <w:spacing w:after="100" w:afterAutospacing="1" w:line="276" w:lineRule="auto"/>
        <w:ind w:firstLine="54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</w:t>
      </w:r>
      <w:r w:rsidR="00C43A2B" w:rsidRPr="00C43A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Viză de legalitate</w:t>
      </w:r>
    </w:p>
    <w:p w14:paraId="3B853BF4" w14:textId="2748A0FF" w:rsidR="00C43A2B" w:rsidRPr="00C43A2B" w:rsidRDefault="002F724E" w:rsidP="002F724E">
      <w:pPr>
        <w:spacing w:after="100" w:afterAutospacing="1" w:line="276" w:lineRule="auto"/>
        <w:ind w:firstLine="54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                                </w:t>
      </w:r>
      <w:proofErr w:type="spellStart"/>
      <w:r w:rsidR="00C43A2B"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Secretarul</w:t>
      </w:r>
      <w:proofErr w:type="spellEnd"/>
      <w:r w:rsidR="00C43A2B"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General al Municipiului Târgu Mureş</w:t>
      </w:r>
    </w:p>
    <w:p w14:paraId="70018974" w14:textId="4B7C0FE5" w:rsidR="00C43A2B" w:rsidRPr="00C43A2B" w:rsidRDefault="002F724E" w:rsidP="002F724E">
      <w:pPr>
        <w:widowControl w:val="0"/>
        <w:tabs>
          <w:tab w:val="left" w:pos="-720"/>
        </w:tabs>
        <w:suppressAutoHyphens/>
        <w:spacing w:after="0" w:line="276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proofErr w:type="spellStart"/>
      <w:r w:rsidR="00E861EA" w:rsidRPr="00E861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Bordi</w:t>
      </w:r>
      <w:proofErr w:type="spellEnd"/>
      <w:r w:rsidR="00E861EA" w:rsidRPr="00E861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E861EA" w:rsidRPr="00E861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Kinga</w:t>
      </w:r>
      <w:proofErr w:type="spellEnd"/>
    </w:p>
    <w:p w14:paraId="06032B6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2A4714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99A4B0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DF0849E" w14:textId="77777777" w:rsid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4B3B65A" w14:textId="77777777" w:rsidR="00C5667E" w:rsidRPr="00C43A2B" w:rsidRDefault="00C5667E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F1C6AAE" w14:textId="77777777" w:rsid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8690EFC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17089F4" w14:textId="77777777" w:rsidR="00C43A2B" w:rsidRPr="00C43A2B" w:rsidRDefault="00C43A2B" w:rsidP="00C43A2B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şi</w:t>
      </w:r>
      <w:proofErr w:type="spellEnd"/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 produc efecte juridice după îndeplinirea </w:t>
      </w:r>
      <w:proofErr w:type="spellStart"/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condiţiilor</w:t>
      </w:r>
      <w:proofErr w:type="spellEnd"/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 xml:space="preserve"> prevăzute de art. 129, art. 139 din O.U.G. nr. 57/2019 privind Codul Administrativ</w:t>
      </w:r>
    </w:p>
    <w:sectPr w:rsidR="00C43A2B" w:rsidRPr="00C43A2B" w:rsidSect="006D3F5B">
      <w:pgSz w:w="12240" w:h="15840" w:code="1"/>
      <w:pgMar w:top="284" w:right="758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CDB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2B25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066E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D1F5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4BA4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2B0824"/>
    <w:multiLevelType w:val="multilevel"/>
    <w:tmpl w:val="735A9E40"/>
    <w:lvl w:ilvl="0">
      <w:start w:val="2"/>
      <w:numFmt w:val="bullet"/>
      <w:lvlText w:val="-"/>
      <w:lvlJc w:val="left"/>
      <w:pPr>
        <w:ind w:left="1800" w:hanging="360"/>
      </w:pPr>
      <w:rPr>
        <w:rFonts w:ascii="Arial" w:hAnsi="Arial" w:cs="Arial" w:hint="default"/>
        <w:b w:val="0"/>
        <w:bCs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557591"/>
    <w:multiLevelType w:val="hybridMultilevel"/>
    <w:tmpl w:val="37DC4E54"/>
    <w:lvl w:ilvl="0" w:tplc="B70E0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57B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5E606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B3EFE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F200A0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6092B13"/>
    <w:multiLevelType w:val="hybridMultilevel"/>
    <w:tmpl w:val="89807F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0AD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7F4225"/>
    <w:multiLevelType w:val="hybridMultilevel"/>
    <w:tmpl w:val="B48C0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 w15:restartNumberingAfterBreak="0">
    <w:nsid w:val="447E24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96CAA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B51F7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5B130EB"/>
    <w:multiLevelType w:val="hybridMultilevel"/>
    <w:tmpl w:val="A078A57C"/>
    <w:lvl w:ilvl="0" w:tplc="7D84CF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D648F"/>
    <w:multiLevelType w:val="hybridMultilevel"/>
    <w:tmpl w:val="1BDE6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1F1FA2"/>
    <w:multiLevelType w:val="hybridMultilevel"/>
    <w:tmpl w:val="591038C0"/>
    <w:lvl w:ilvl="0" w:tplc="431CF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35072E"/>
    <w:multiLevelType w:val="hybridMultilevel"/>
    <w:tmpl w:val="1F2E6B7A"/>
    <w:lvl w:ilvl="0" w:tplc="5674F056">
      <w:start w:val="2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4CFB1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7B22795"/>
    <w:multiLevelType w:val="hybridMultilevel"/>
    <w:tmpl w:val="E7DEEF30"/>
    <w:lvl w:ilvl="0" w:tplc="CB9E01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DA74C43"/>
    <w:multiLevelType w:val="hybridMultilevel"/>
    <w:tmpl w:val="67FA48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18408">
    <w:abstractNumId w:val="16"/>
  </w:num>
  <w:num w:numId="2" w16cid:durableId="17869225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009439">
    <w:abstractNumId w:val="7"/>
  </w:num>
  <w:num w:numId="4" w16cid:durableId="616641594">
    <w:abstractNumId w:val="20"/>
  </w:num>
  <w:num w:numId="5" w16cid:durableId="1498226575">
    <w:abstractNumId w:val="25"/>
  </w:num>
  <w:num w:numId="6" w16cid:durableId="1650401774">
    <w:abstractNumId w:val="6"/>
  </w:num>
  <w:num w:numId="7" w16cid:durableId="307322745">
    <w:abstractNumId w:val="26"/>
  </w:num>
  <w:num w:numId="8" w16cid:durableId="1453674327">
    <w:abstractNumId w:val="17"/>
  </w:num>
  <w:num w:numId="9" w16cid:durableId="143352213">
    <w:abstractNumId w:val="24"/>
  </w:num>
  <w:num w:numId="10" w16cid:durableId="1838376246">
    <w:abstractNumId w:val="10"/>
  </w:num>
  <w:num w:numId="11" w16cid:durableId="1783070491">
    <w:abstractNumId w:val="9"/>
  </w:num>
  <w:num w:numId="12" w16cid:durableId="1068307160">
    <w:abstractNumId w:val="1"/>
  </w:num>
  <w:num w:numId="13" w16cid:durableId="778529992">
    <w:abstractNumId w:val="18"/>
  </w:num>
  <w:num w:numId="14" w16cid:durableId="1325279959">
    <w:abstractNumId w:val="19"/>
  </w:num>
  <w:num w:numId="15" w16cid:durableId="671420733">
    <w:abstractNumId w:val="8"/>
  </w:num>
  <w:num w:numId="16" w16cid:durableId="2099478178">
    <w:abstractNumId w:val="3"/>
  </w:num>
  <w:num w:numId="17" w16cid:durableId="1832022315">
    <w:abstractNumId w:val="14"/>
  </w:num>
  <w:num w:numId="18" w16cid:durableId="459765440">
    <w:abstractNumId w:val="0"/>
  </w:num>
  <w:num w:numId="19" w16cid:durableId="2004776500">
    <w:abstractNumId w:val="4"/>
  </w:num>
  <w:num w:numId="20" w16cid:durableId="1903443903">
    <w:abstractNumId w:val="2"/>
  </w:num>
  <w:num w:numId="21" w16cid:durableId="1383362738">
    <w:abstractNumId w:val="11"/>
  </w:num>
  <w:num w:numId="22" w16cid:durableId="4684018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4962737">
    <w:abstractNumId w:val="16"/>
  </w:num>
  <w:num w:numId="24" w16cid:durableId="823203301">
    <w:abstractNumId w:val="15"/>
  </w:num>
  <w:num w:numId="25" w16cid:durableId="748038971">
    <w:abstractNumId w:val="12"/>
  </w:num>
  <w:num w:numId="26" w16cid:durableId="1197085386">
    <w:abstractNumId w:val="21"/>
  </w:num>
  <w:num w:numId="27" w16cid:durableId="1139834600">
    <w:abstractNumId w:val="22"/>
  </w:num>
  <w:num w:numId="28" w16cid:durableId="820272466">
    <w:abstractNumId w:val="5"/>
  </w:num>
  <w:num w:numId="29" w16cid:durableId="14456157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0B"/>
    <w:rsid w:val="00140030"/>
    <w:rsid w:val="0014664C"/>
    <w:rsid w:val="002177F5"/>
    <w:rsid w:val="002465BF"/>
    <w:rsid w:val="002E1A74"/>
    <w:rsid w:val="002F724E"/>
    <w:rsid w:val="003218A4"/>
    <w:rsid w:val="00342015"/>
    <w:rsid w:val="00372694"/>
    <w:rsid w:val="00374A57"/>
    <w:rsid w:val="0038492E"/>
    <w:rsid w:val="004769FA"/>
    <w:rsid w:val="004B7B6F"/>
    <w:rsid w:val="004F47B5"/>
    <w:rsid w:val="006030B4"/>
    <w:rsid w:val="00625026"/>
    <w:rsid w:val="00631442"/>
    <w:rsid w:val="00666473"/>
    <w:rsid w:val="006762E5"/>
    <w:rsid w:val="006A6361"/>
    <w:rsid w:val="006D3F5B"/>
    <w:rsid w:val="006E26D6"/>
    <w:rsid w:val="006E6C27"/>
    <w:rsid w:val="0071689B"/>
    <w:rsid w:val="007667CD"/>
    <w:rsid w:val="00777F02"/>
    <w:rsid w:val="007E10B8"/>
    <w:rsid w:val="008314B7"/>
    <w:rsid w:val="00885DEF"/>
    <w:rsid w:val="00886D8C"/>
    <w:rsid w:val="009847A7"/>
    <w:rsid w:val="009A6540"/>
    <w:rsid w:val="009A780A"/>
    <w:rsid w:val="009E5B5E"/>
    <w:rsid w:val="009F6363"/>
    <w:rsid w:val="00A77760"/>
    <w:rsid w:val="00B06A66"/>
    <w:rsid w:val="00B07FD4"/>
    <w:rsid w:val="00B60788"/>
    <w:rsid w:val="00B83252"/>
    <w:rsid w:val="00B87DA0"/>
    <w:rsid w:val="00C32DBB"/>
    <w:rsid w:val="00C43990"/>
    <w:rsid w:val="00C43A2B"/>
    <w:rsid w:val="00C5667E"/>
    <w:rsid w:val="00D16013"/>
    <w:rsid w:val="00DB113D"/>
    <w:rsid w:val="00DB4344"/>
    <w:rsid w:val="00DE250B"/>
    <w:rsid w:val="00E02352"/>
    <w:rsid w:val="00E0520F"/>
    <w:rsid w:val="00E262AB"/>
    <w:rsid w:val="00E75CCB"/>
    <w:rsid w:val="00E8148A"/>
    <w:rsid w:val="00E861EA"/>
    <w:rsid w:val="00EA60CE"/>
    <w:rsid w:val="00ED37C2"/>
    <w:rsid w:val="00EE67CA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F6F8"/>
  <w15:chartTrackingRefBased/>
  <w15:docId w15:val="{6E49E986-0A6E-4CE2-A4D5-35C1E10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5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50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0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0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0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0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0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0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E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0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0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E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50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E2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0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E250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E1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7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cp:lastPrinted>2026-02-18T07:29:00Z</cp:lastPrinted>
  <dcterms:created xsi:type="dcterms:W3CDTF">2025-10-27T09:54:00Z</dcterms:created>
  <dcterms:modified xsi:type="dcterms:W3CDTF">2026-03-18T11:34:00Z</dcterms:modified>
</cp:coreProperties>
</file>