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6A001" w14:textId="77777777" w:rsidR="00B545C4" w:rsidRPr="002B2C36" w:rsidRDefault="00B545C4" w:rsidP="00B545C4">
      <w:pPr>
        <w:jc w:val="center"/>
        <w:rPr>
          <w:b/>
          <w:bCs/>
        </w:rPr>
      </w:pPr>
      <w:r w:rsidRPr="002B2C36">
        <w:rPr>
          <w:b/>
          <w:bCs/>
        </w:rPr>
        <w:t>Indicatorii tehnico – economici</w:t>
      </w:r>
    </w:p>
    <w:p w14:paraId="1D751B69" w14:textId="77777777" w:rsidR="00B545C4" w:rsidRPr="002B2C36" w:rsidRDefault="00B545C4" w:rsidP="00B545C4">
      <w:pPr>
        <w:jc w:val="center"/>
      </w:pPr>
      <w:r w:rsidRPr="002B2C36">
        <w:t>Pentru obiectivul de investiţii</w:t>
      </w:r>
    </w:p>
    <w:p w14:paraId="30A944D7" w14:textId="77777777" w:rsidR="00B545C4" w:rsidRPr="002B2C36" w:rsidRDefault="00B545C4" w:rsidP="00B545C4">
      <w:pPr>
        <w:tabs>
          <w:tab w:val="left" w:pos="-720"/>
        </w:tabs>
        <w:jc w:val="center"/>
        <w:rPr>
          <w:b/>
          <w:bCs/>
          <w:spacing w:val="-2"/>
        </w:rPr>
      </w:pPr>
      <w:r w:rsidRPr="002B2C36">
        <w:rPr>
          <w:b/>
          <w:bCs/>
          <w:i/>
          <w:spacing w:val="-2"/>
        </w:rPr>
        <w:t xml:space="preserve">„S.F. </w:t>
      </w:r>
      <w:proofErr w:type="spellStart"/>
      <w:r w:rsidRPr="007E0D50">
        <w:rPr>
          <w:b/>
          <w:bCs/>
          <w:i/>
          <w:lang w:val="es-ES"/>
        </w:rPr>
        <w:t>Construire</w:t>
      </w:r>
      <w:proofErr w:type="spellEnd"/>
      <w:r w:rsidRPr="007E0D50">
        <w:rPr>
          <w:b/>
          <w:bCs/>
          <w:i/>
          <w:lang w:val="es-ES"/>
        </w:rPr>
        <w:t xml:space="preserve"> parking </w:t>
      </w:r>
      <w:proofErr w:type="spellStart"/>
      <w:r w:rsidRPr="007E0D50">
        <w:rPr>
          <w:b/>
          <w:bCs/>
          <w:i/>
          <w:lang w:val="es-ES"/>
        </w:rPr>
        <w:t>subteran</w:t>
      </w:r>
      <w:proofErr w:type="spellEnd"/>
      <w:r w:rsidRPr="007E0D50">
        <w:rPr>
          <w:b/>
          <w:bCs/>
          <w:i/>
          <w:lang w:val="es-ES"/>
        </w:rPr>
        <w:t xml:space="preserve"> </w:t>
      </w:r>
      <w:proofErr w:type="spellStart"/>
      <w:r w:rsidRPr="007E0D50">
        <w:rPr>
          <w:b/>
          <w:bCs/>
          <w:i/>
          <w:lang w:val="es-ES"/>
        </w:rPr>
        <w:t>în</w:t>
      </w:r>
      <w:proofErr w:type="spellEnd"/>
      <w:r w:rsidRPr="007E0D50">
        <w:rPr>
          <w:b/>
          <w:bCs/>
          <w:i/>
          <w:lang w:val="es-ES"/>
        </w:rPr>
        <w:t xml:space="preserve"> zona </w:t>
      </w:r>
      <w:proofErr w:type="spellStart"/>
      <w:r w:rsidRPr="007E0D50">
        <w:rPr>
          <w:b/>
          <w:bCs/>
          <w:i/>
          <w:lang w:val="es-ES"/>
        </w:rPr>
        <w:t>fostului</w:t>
      </w:r>
      <w:proofErr w:type="spellEnd"/>
      <w:r w:rsidRPr="007E0D50">
        <w:rPr>
          <w:b/>
          <w:bCs/>
          <w:i/>
          <w:lang w:val="es-ES"/>
        </w:rPr>
        <w:t xml:space="preserve"> hotel </w:t>
      </w:r>
      <w:proofErr w:type="spellStart"/>
      <w:r w:rsidRPr="007E0D50">
        <w:rPr>
          <w:b/>
          <w:bCs/>
          <w:i/>
          <w:lang w:val="es-ES"/>
        </w:rPr>
        <w:t>Parc</w:t>
      </w:r>
      <w:proofErr w:type="spellEnd"/>
      <w:r w:rsidRPr="007E0D50">
        <w:rPr>
          <w:b/>
          <w:bCs/>
          <w:i/>
          <w:iCs/>
          <w:lang w:val="es-ES"/>
        </w:rPr>
        <w:t xml:space="preserve"> </w:t>
      </w:r>
      <w:r w:rsidRPr="002B2C36">
        <w:rPr>
          <w:b/>
          <w:bCs/>
          <w:i/>
          <w:spacing w:val="-2"/>
        </w:rPr>
        <w:t>“</w:t>
      </w:r>
    </w:p>
    <w:p w14:paraId="68C2C0B3" w14:textId="77777777" w:rsidR="00B545C4" w:rsidRPr="002B2C36" w:rsidRDefault="00B545C4" w:rsidP="00B545C4">
      <w:pPr>
        <w:rPr>
          <w:bCs/>
          <w:iCs/>
        </w:rPr>
      </w:pPr>
    </w:p>
    <w:p w14:paraId="12676FA4" w14:textId="77777777" w:rsidR="00B545C4" w:rsidRPr="002B2C36" w:rsidRDefault="00B545C4" w:rsidP="00B545C4">
      <w:pPr>
        <w:rPr>
          <w:bCs/>
          <w:iCs/>
        </w:rPr>
      </w:pPr>
    </w:p>
    <w:p w14:paraId="2532AD8A" w14:textId="77777777" w:rsidR="00B545C4" w:rsidRPr="002B2C36" w:rsidRDefault="00B545C4" w:rsidP="00B545C4">
      <w:pPr>
        <w:ind w:firstLine="180"/>
        <w:rPr>
          <w:rFonts w:ascii="Calibri" w:hAnsi="Calibri" w:cs="Arial"/>
          <w:color w:val="000000"/>
          <w:sz w:val="22"/>
        </w:rPr>
      </w:pPr>
      <w:r w:rsidRPr="002B2C36">
        <w:rPr>
          <w:i/>
        </w:rPr>
        <w:t xml:space="preserve">a) </w:t>
      </w:r>
      <w:r w:rsidRPr="002B2C36">
        <w:rPr>
          <w:i/>
          <w:color w:val="000000"/>
        </w:rPr>
        <w:t>indicatori maximali, respectiv valoarea totală a obiectivului de investiţii, exprimată în lei, cu TVA şi, respectiv, fără TVA, din care construcţii-montaj (C+M), în conformitate cu devizul general;</w:t>
      </w:r>
    </w:p>
    <w:p w14:paraId="24383B23" w14:textId="77777777" w:rsidR="00B545C4" w:rsidRPr="002B2C36" w:rsidRDefault="00B545C4" w:rsidP="00B545C4">
      <w:pPr>
        <w:rPr>
          <w:b/>
        </w:rPr>
      </w:pPr>
    </w:p>
    <w:p w14:paraId="1C416371" w14:textId="77777777" w:rsidR="00B545C4" w:rsidRPr="002B2C36" w:rsidRDefault="00B545C4" w:rsidP="00B545C4">
      <w:pPr>
        <w:rPr>
          <w:b/>
        </w:rPr>
      </w:pPr>
      <w:r>
        <w:rPr>
          <w:b/>
        </w:rPr>
        <w:t>SCENARIUL 1</w:t>
      </w:r>
      <w:r w:rsidRPr="002B2C36">
        <w:rPr>
          <w:b/>
        </w:rPr>
        <w:t>:</w:t>
      </w:r>
    </w:p>
    <w:p w14:paraId="1390A299" w14:textId="77777777" w:rsidR="00B545C4" w:rsidRPr="000748D3" w:rsidRDefault="00B545C4" w:rsidP="00B545C4">
      <w:pPr>
        <w:rPr>
          <w:b/>
        </w:rPr>
      </w:pPr>
      <w:r w:rsidRPr="002B2C36">
        <w:rPr>
          <w:bCs/>
        </w:rPr>
        <w:t>valoarea totală a obiectivului de investiții:</w:t>
      </w:r>
      <w:r w:rsidRPr="002B2C36">
        <w:rPr>
          <w:bCs/>
        </w:rPr>
        <w:tab/>
      </w:r>
      <w:r w:rsidRPr="002B2C36">
        <w:rPr>
          <w:bCs/>
        </w:rPr>
        <w:tab/>
      </w:r>
      <w:r w:rsidRPr="000748D3">
        <w:rPr>
          <w:b/>
        </w:rPr>
        <w:t>58.510.066,12 lei (TVA inclus)</w:t>
      </w:r>
    </w:p>
    <w:p w14:paraId="2EBA7211" w14:textId="77777777" w:rsidR="00B545C4" w:rsidRPr="002B2C36" w:rsidRDefault="00B545C4" w:rsidP="00B545C4">
      <w:pPr>
        <w:rPr>
          <w:bCs/>
        </w:rPr>
      </w:pPr>
      <w:r w:rsidRPr="002B2C36">
        <w:rPr>
          <w:bCs/>
        </w:rPr>
        <w:t>din care C+M:</w:t>
      </w:r>
      <w:r w:rsidRPr="002B2C36">
        <w:rPr>
          <w:bCs/>
        </w:rPr>
        <w:tab/>
      </w:r>
      <w:r w:rsidRPr="002B2C36">
        <w:rPr>
          <w:bCs/>
        </w:rPr>
        <w:tab/>
      </w:r>
      <w:r w:rsidRPr="002B2C36">
        <w:rPr>
          <w:bCs/>
        </w:rPr>
        <w:tab/>
      </w:r>
      <w:r w:rsidRPr="002B2C36">
        <w:rPr>
          <w:bCs/>
        </w:rPr>
        <w:tab/>
      </w:r>
      <w:r w:rsidRPr="002B2C36">
        <w:rPr>
          <w:bCs/>
        </w:rPr>
        <w:tab/>
      </w:r>
      <w:r w:rsidRPr="002B2C36">
        <w:rPr>
          <w:bCs/>
        </w:rPr>
        <w:tab/>
      </w:r>
      <w:r w:rsidRPr="000748D3">
        <w:rPr>
          <w:b/>
        </w:rPr>
        <w:t>52.040.834,91 lei (TVA inclus)</w:t>
      </w:r>
    </w:p>
    <w:p w14:paraId="41B6CFA4" w14:textId="77777777" w:rsidR="00B545C4" w:rsidRPr="002B2C36" w:rsidRDefault="00B545C4" w:rsidP="00B545C4">
      <w:pPr>
        <w:rPr>
          <w:b/>
        </w:rPr>
      </w:pPr>
    </w:p>
    <w:p w14:paraId="15A1891F" w14:textId="77777777" w:rsidR="00B545C4" w:rsidRPr="002B2C36" w:rsidRDefault="00B545C4" w:rsidP="00B545C4">
      <w:pPr>
        <w:rPr>
          <w:b/>
        </w:rPr>
      </w:pPr>
    </w:p>
    <w:p w14:paraId="71162A2C" w14:textId="77777777" w:rsidR="00B545C4" w:rsidRPr="002B2C36" w:rsidRDefault="00B545C4" w:rsidP="00B545C4">
      <w:pPr>
        <w:tabs>
          <w:tab w:val="left" w:pos="6808"/>
        </w:tabs>
        <w:jc w:val="both"/>
      </w:pPr>
      <w:r w:rsidRPr="002B2C36">
        <w:rPr>
          <w:b/>
          <w:bCs/>
        </w:rPr>
        <w:t xml:space="preserve">Durata de execuţie a lucrărilor este de </w:t>
      </w:r>
      <w:r>
        <w:rPr>
          <w:b/>
          <w:bCs/>
        </w:rPr>
        <w:t>1</w:t>
      </w:r>
      <w:r w:rsidRPr="002B2C36">
        <w:rPr>
          <w:b/>
          <w:bCs/>
        </w:rPr>
        <w:t>8 luni</w:t>
      </w:r>
      <w:r w:rsidRPr="002B2C36">
        <w:t>,</w:t>
      </w:r>
    </w:p>
    <w:p w14:paraId="7A5CD7DC" w14:textId="77777777" w:rsidR="00B545C4" w:rsidRPr="002B2C36" w:rsidRDefault="00B545C4" w:rsidP="00B545C4">
      <w:pPr>
        <w:tabs>
          <w:tab w:val="left" w:pos="6808"/>
        </w:tabs>
        <w:jc w:val="both"/>
        <w:rPr>
          <w:color w:val="000000"/>
        </w:rPr>
      </w:pPr>
      <w:r w:rsidRPr="002B2C36">
        <w:t xml:space="preserve">iar </w:t>
      </w:r>
      <w:r w:rsidRPr="002B2C36">
        <w:rPr>
          <w:b/>
          <w:bCs/>
        </w:rPr>
        <w:t>durata de implementare integrală a proiectului</w:t>
      </w:r>
      <w:r w:rsidRPr="002B2C36">
        <w:t xml:space="preserve">, cu toate activităţile suport (achiziţii, publicitate, etc.) </w:t>
      </w:r>
      <w:r w:rsidRPr="002B2C36">
        <w:rPr>
          <w:b/>
          <w:bCs/>
        </w:rPr>
        <w:t xml:space="preserve">este de </w:t>
      </w:r>
      <w:r>
        <w:rPr>
          <w:b/>
          <w:bCs/>
        </w:rPr>
        <w:t>24</w:t>
      </w:r>
      <w:r w:rsidRPr="002B2C36">
        <w:rPr>
          <w:b/>
          <w:bCs/>
        </w:rPr>
        <w:t xml:space="preserve"> luni </w:t>
      </w:r>
      <w:r w:rsidRPr="002B2C36">
        <w:t>de la începerea implementării proiectului.</w:t>
      </w:r>
    </w:p>
    <w:p w14:paraId="56D2191E" w14:textId="77777777" w:rsidR="00B545C4" w:rsidRPr="002B2C36" w:rsidRDefault="00B545C4" w:rsidP="00B545C4">
      <w:pPr>
        <w:rPr>
          <w:b/>
          <w:bCs/>
          <w:color w:val="000000"/>
        </w:rPr>
      </w:pPr>
      <w:r w:rsidRPr="002B2C36">
        <w:rPr>
          <w:b/>
          <w:bCs/>
          <w:color w:val="000000"/>
        </w:rPr>
        <w:t>Capacităţi (în unități fizice ):</w:t>
      </w:r>
    </w:p>
    <w:p w14:paraId="551A7A06" w14:textId="77777777" w:rsidR="00B545C4" w:rsidRPr="002B2C36" w:rsidRDefault="00B545C4" w:rsidP="00B545C4">
      <w:pPr>
        <w:ind w:firstLine="180"/>
        <w:rPr>
          <w:i/>
          <w:color w:val="000000"/>
        </w:rPr>
      </w:pPr>
      <w:r w:rsidRPr="002B2C36">
        <w:rPr>
          <w:bCs/>
          <w:i/>
          <w:color w:val="000000"/>
        </w:rPr>
        <w:t xml:space="preserve">b) </w:t>
      </w:r>
      <w:r w:rsidRPr="002B2C36">
        <w:rPr>
          <w:i/>
          <w:color w:val="000000"/>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3C8281F" w14:textId="77777777" w:rsidR="00B545C4" w:rsidRPr="002B2C36" w:rsidRDefault="00B545C4" w:rsidP="00B545C4">
      <w:pPr>
        <w:ind w:firstLine="180"/>
        <w:rPr>
          <w:i/>
          <w:color w:val="000000"/>
        </w:rPr>
      </w:pPr>
    </w:p>
    <w:tbl>
      <w:tblPr>
        <w:tblW w:w="0" w:type="auto"/>
        <w:tblLook w:val="04A0" w:firstRow="1" w:lastRow="0" w:firstColumn="1" w:lastColumn="0" w:noHBand="0" w:noVBand="1"/>
      </w:tblPr>
      <w:tblGrid>
        <w:gridCol w:w="7281"/>
        <w:gridCol w:w="857"/>
        <w:gridCol w:w="1563"/>
      </w:tblGrid>
      <w:tr w:rsidR="00B545C4" w:rsidRPr="002B2C36" w14:paraId="72A99F85" w14:textId="77777777" w:rsidTr="003D43A0">
        <w:trPr>
          <w:trHeight w:val="299"/>
        </w:trPr>
        <w:tc>
          <w:tcPr>
            <w:tcW w:w="7281" w:type="dxa"/>
            <w:tcBorders>
              <w:top w:val="single" w:sz="4" w:space="0" w:color="auto"/>
              <w:left w:val="single" w:sz="4" w:space="0" w:color="auto"/>
              <w:bottom w:val="single" w:sz="4" w:space="0" w:color="auto"/>
              <w:right w:val="single" w:sz="4" w:space="0" w:color="auto"/>
            </w:tcBorders>
            <w:shd w:val="clear" w:color="auto" w:fill="auto"/>
          </w:tcPr>
          <w:p w14:paraId="60B81556" w14:textId="77777777" w:rsidR="00B545C4" w:rsidRPr="002B2C36" w:rsidRDefault="00B545C4" w:rsidP="003D43A0">
            <w:pPr>
              <w:spacing w:line="276" w:lineRule="auto"/>
              <w:rPr>
                <w:rFonts w:ascii="Arial" w:hAnsi="Arial" w:cs="Arial"/>
                <w:b/>
                <w:bCs/>
              </w:rPr>
            </w:pPr>
            <w:r w:rsidRPr="002B2C36">
              <w:rPr>
                <w:rFonts w:ascii="Arial" w:hAnsi="Arial" w:cs="Arial"/>
                <w:b/>
                <w:bCs/>
              </w:rPr>
              <w:t>Indicatori tehnici</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111769A0" w14:textId="77777777" w:rsidR="00B545C4" w:rsidRPr="002B2C36" w:rsidRDefault="00B545C4" w:rsidP="003D43A0">
            <w:pPr>
              <w:spacing w:line="276" w:lineRule="auto"/>
              <w:rPr>
                <w:rFonts w:ascii="Arial" w:hAnsi="Arial" w:cs="Arial"/>
                <w:b/>
                <w:bCs/>
              </w:rPr>
            </w:pPr>
            <w:r w:rsidRPr="002B2C36">
              <w:rPr>
                <w:rFonts w:ascii="Arial" w:hAnsi="Arial" w:cs="Arial"/>
                <w:b/>
                <w:bCs/>
              </w:rPr>
              <w:t>U.M.</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A3BC962" w14:textId="77777777" w:rsidR="00B545C4" w:rsidRPr="002B2C36" w:rsidRDefault="00B545C4" w:rsidP="003D43A0">
            <w:pPr>
              <w:spacing w:line="276" w:lineRule="auto"/>
              <w:rPr>
                <w:rFonts w:ascii="Arial" w:hAnsi="Arial" w:cs="Arial"/>
                <w:b/>
                <w:bCs/>
              </w:rPr>
            </w:pPr>
            <w:r w:rsidRPr="002B2C36">
              <w:rPr>
                <w:rFonts w:ascii="Arial" w:hAnsi="Arial" w:cs="Arial"/>
                <w:b/>
                <w:bCs/>
              </w:rPr>
              <w:t>Capacități</w:t>
            </w:r>
          </w:p>
        </w:tc>
      </w:tr>
      <w:tr w:rsidR="00B545C4" w:rsidRPr="002B2C36" w14:paraId="40721E9C" w14:textId="77777777" w:rsidTr="003D43A0">
        <w:trPr>
          <w:trHeight w:val="311"/>
        </w:trPr>
        <w:tc>
          <w:tcPr>
            <w:tcW w:w="7281" w:type="dxa"/>
            <w:tcBorders>
              <w:bottom w:val="single" w:sz="4" w:space="0" w:color="auto"/>
            </w:tcBorders>
            <w:shd w:val="clear" w:color="auto" w:fill="auto"/>
          </w:tcPr>
          <w:p w14:paraId="7AB07094" w14:textId="77777777" w:rsidR="00B545C4" w:rsidRPr="002B2C36" w:rsidRDefault="00B545C4" w:rsidP="003D43A0">
            <w:pPr>
              <w:spacing w:line="276" w:lineRule="auto"/>
              <w:rPr>
                <w:rFonts w:ascii="Arial" w:hAnsi="Arial" w:cs="Arial"/>
              </w:rPr>
            </w:pPr>
            <w:r w:rsidRPr="00D758DF">
              <w:rPr>
                <w:rFonts w:ascii="Arial" w:hAnsi="Arial" w:cs="Arial"/>
                <w:color w:val="222222"/>
                <w:sz w:val="22"/>
                <w:szCs w:val="22"/>
              </w:rPr>
              <w:t>Suprafața terenurilor</w:t>
            </w:r>
          </w:p>
        </w:tc>
        <w:tc>
          <w:tcPr>
            <w:tcW w:w="857" w:type="dxa"/>
            <w:tcBorders>
              <w:bottom w:val="single" w:sz="4" w:space="0" w:color="auto"/>
            </w:tcBorders>
            <w:shd w:val="clear" w:color="auto" w:fill="auto"/>
          </w:tcPr>
          <w:p w14:paraId="5DDBE370" w14:textId="77777777" w:rsidR="00B545C4" w:rsidRPr="002B2C36" w:rsidRDefault="00B545C4" w:rsidP="003D43A0">
            <w:pPr>
              <w:spacing w:line="276" w:lineRule="auto"/>
              <w:jc w:val="center"/>
              <w:rPr>
                <w:rFonts w:ascii="Arial" w:hAnsi="Arial" w:cs="Arial"/>
              </w:rPr>
            </w:pPr>
            <w:r w:rsidRPr="001058EA">
              <w:rPr>
                <w:rFonts w:ascii="Arial" w:hAnsi="Arial" w:cs="Arial"/>
                <w:color w:val="222222"/>
                <w:sz w:val="22"/>
                <w:szCs w:val="22"/>
              </w:rPr>
              <w:t>mp</w:t>
            </w:r>
          </w:p>
        </w:tc>
        <w:tc>
          <w:tcPr>
            <w:tcW w:w="1563" w:type="dxa"/>
            <w:tcBorders>
              <w:bottom w:val="single" w:sz="4" w:space="0" w:color="auto"/>
            </w:tcBorders>
            <w:shd w:val="clear" w:color="auto" w:fill="auto"/>
          </w:tcPr>
          <w:p w14:paraId="57B11B53" w14:textId="77777777" w:rsidR="00B545C4" w:rsidRPr="002B2C36" w:rsidRDefault="00B545C4" w:rsidP="003D43A0">
            <w:pPr>
              <w:spacing w:line="276" w:lineRule="auto"/>
              <w:rPr>
                <w:rFonts w:ascii="Arial" w:hAnsi="Arial" w:cs="Arial"/>
              </w:rPr>
            </w:pPr>
            <w:r>
              <w:rPr>
                <w:rFonts w:ascii="Arial" w:hAnsi="Arial" w:cs="Arial"/>
                <w:color w:val="222222"/>
                <w:sz w:val="22"/>
                <w:szCs w:val="22"/>
              </w:rPr>
              <w:t xml:space="preserve">   </w:t>
            </w:r>
            <w:r w:rsidRPr="00261D05">
              <w:rPr>
                <w:rFonts w:ascii="Arial" w:hAnsi="Arial" w:cs="Arial"/>
                <w:color w:val="222222"/>
                <w:sz w:val="22"/>
                <w:szCs w:val="22"/>
              </w:rPr>
              <w:t>2.981</w:t>
            </w:r>
          </w:p>
        </w:tc>
      </w:tr>
      <w:tr w:rsidR="00B545C4" w:rsidRPr="002B2C36" w14:paraId="056800BE" w14:textId="77777777" w:rsidTr="003D43A0">
        <w:trPr>
          <w:trHeight w:val="299"/>
        </w:trPr>
        <w:tc>
          <w:tcPr>
            <w:tcW w:w="7281" w:type="dxa"/>
            <w:tcBorders>
              <w:top w:val="single" w:sz="4" w:space="0" w:color="auto"/>
              <w:bottom w:val="single" w:sz="4" w:space="0" w:color="auto"/>
            </w:tcBorders>
            <w:shd w:val="clear" w:color="auto" w:fill="auto"/>
          </w:tcPr>
          <w:p w14:paraId="750D303E" w14:textId="77777777" w:rsidR="00B545C4" w:rsidRPr="002B2C36" w:rsidRDefault="00B545C4" w:rsidP="003D43A0">
            <w:pPr>
              <w:spacing w:line="276" w:lineRule="auto"/>
              <w:rPr>
                <w:rFonts w:ascii="Arial" w:hAnsi="Arial" w:cs="Arial"/>
                <w:i/>
                <w:iCs/>
              </w:rPr>
            </w:pPr>
            <w:r w:rsidRPr="00D758DF">
              <w:rPr>
                <w:rFonts w:ascii="Arial" w:hAnsi="Arial" w:cs="Arial"/>
                <w:color w:val="222222"/>
                <w:sz w:val="22"/>
                <w:szCs w:val="22"/>
              </w:rPr>
              <w:t>Ocuparea terenului</w:t>
            </w:r>
          </w:p>
        </w:tc>
        <w:tc>
          <w:tcPr>
            <w:tcW w:w="857" w:type="dxa"/>
            <w:tcBorders>
              <w:top w:val="single" w:sz="4" w:space="0" w:color="auto"/>
              <w:bottom w:val="single" w:sz="4" w:space="0" w:color="auto"/>
            </w:tcBorders>
            <w:shd w:val="clear" w:color="auto" w:fill="auto"/>
          </w:tcPr>
          <w:p w14:paraId="1600B81B" w14:textId="77777777" w:rsidR="00B545C4" w:rsidRPr="002B2C36" w:rsidRDefault="00B545C4" w:rsidP="003D43A0">
            <w:pPr>
              <w:spacing w:line="276" w:lineRule="auto"/>
              <w:jc w:val="center"/>
              <w:rPr>
                <w:rFonts w:ascii="Arial" w:hAnsi="Arial" w:cs="Arial"/>
                <w:i/>
                <w:iCs/>
              </w:rPr>
            </w:pPr>
            <w:r w:rsidRPr="001058EA">
              <w:rPr>
                <w:rFonts w:ascii="Arial" w:hAnsi="Arial" w:cs="Arial"/>
                <w:color w:val="222222"/>
                <w:sz w:val="22"/>
                <w:szCs w:val="22"/>
              </w:rPr>
              <w:t>%</w:t>
            </w:r>
          </w:p>
        </w:tc>
        <w:tc>
          <w:tcPr>
            <w:tcW w:w="1563" w:type="dxa"/>
            <w:tcBorders>
              <w:top w:val="single" w:sz="4" w:space="0" w:color="auto"/>
              <w:bottom w:val="single" w:sz="4" w:space="0" w:color="auto"/>
            </w:tcBorders>
            <w:shd w:val="clear" w:color="auto" w:fill="auto"/>
          </w:tcPr>
          <w:p w14:paraId="34A3A7C5" w14:textId="77777777" w:rsidR="00B545C4" w:rsidRPr="002B2C36" w:rsidRDefault="00B545C4" w:rsidP="003D43A0">
            <w:pPr>
              <w:spacing w:line="276" w:lineRule="auto"/>
              <w:rPr>
                <w:rFonts w:ascii="Arial" w:hAnsi="Arial" w:cs="Arial"/>
                <w:i/>
                <w:iCs/>
              </w:rPr>
            </w:pPr>
            <w:r>
              <w:rPr>
                <w:rFonts w:ascii="Arial" w:hAnsi="Arial" w:cs="Arial"/>
                <w:color w:val="222222"/>
                <w:sz w:val="22"/>
                <w:szCs w:val="22"/>
              </w:rPr>
              <w:t xml:space="preserve">     </w:t>
            </w:r>
            <w:r w:rsidRPr="00261D05">
              <w:rPr>
                <w:rFonts w:ascii="Arial" w:hAnsi="Arial" w:cs="Arial"/>
                <w:color w:val="222222"/>
                <w:sz w:val="22"/>
                <w:szCs w:val="22"/>
              </w:rPr>
              <w:t>82,0</w:t>
            </w:r>
          </w:p>
        </w:tc>
      </w:tr>
      <w:tr w:rsidR="00B545C4" w:rsidRPr="002B2C36" w14:paraId="50683602" w14:textId="77777777" w:rsidTr="003D43A0">
        <w:trPr>
          <w:trHeight w:val="299"/>
        </w:trPr>
        <w:tc>
          <w:tcPr>
            <w:tcW w:w="7281" w:type="dxa"/>
            <w:tcBorders>
              <w:top w:val="single" w:sz="4" w:space="0" w:color="auto"/>
              <w:bottom w:val="single" w:sz="4" w:space="0" w:color="auto"/>
            </w:tcBorders>
            <w:shd w:val="clear" w:color="auto" w:fill="auto"/>
          </w:tcPr>
          <w:p w14:paraId="01F13A24" w14:textId="77777777" w:rsidR="00B545C4" w:rsidRPr="002B2C36" w:rsidRDefault="00B545C4" w:rsidP="003D43A0">
            <w:pPr>
              <w:spacing w:line="276" w:lineRule="auto"/>
              <w:rPr>
                <w:rFonts w:ascii="Arial" w:hAnsi="Arial" w:cs="Arial"/>
              </w:rPr>
            </w:pPr>
            <w:r w:rsidRPr="00D758DF">
              <w:rPr>
                <w:rFonts w:ascii="Arial" w:hAnsi="Arial" w:cs="Arial"/>
                <w:color w:val="222222"/>
                <w:sz w:val="22"/>
                <w:szCs w:val="22"/>
              </w:rPr>
              <w:t>Utilizarea terenului</w:t>
            </w:r>
          </w:p>
        </w:tc>
        <w:tc>
          <w:tcPr>
            <w:tcW w:w="857" w:type="dxa"/>
            <w:tcBorders>
              <w:top w:val="single" w:sz="4" w:space="0" w:color="auto"/>
              <w:bottom w:val="single" w:sz="4" w:space="0" w:color="auto"/>
            </w:tcBorders>
            <w:shd w:val="clear" w:color="auto" w:fill="auto"/>
          </w:tcPr>
          <w:p w14:paraId="1E5024A3" w14:textId="77777777" w:rsidR="00B545C4" w:rsidRPr="002B2C36" w:rsidRDefault="00B545C4" w:rsidP="003D43A0">
            <w:pPr>
              <w:spacing w:line="276" w:lineRule="auto"/>
              <w:jc w:val="center"/>
              <w:rPr>
                <w:rFonts w:ascii="Arial" w:hAnsi="Arial" w:cs="Arial"/>
              </w:rPr>
            </w:pPr>
            <w:r w:rsidRPr="001058EA">
              <w:rPr>
                <w:rFonts w:ascii="Arial" w:hAnsi="Arial" w:cs="Arial"/>
                <w:color w:val="222222"/>
                <w:sz w:val="22"/>
                <w:szCs w:val="22"/>
              </w:rPr>
              <w:t>% </w:t>
            </w:r>
          </w:p>
        </w:tc>
        <w:tc>
          <w:tcPr>
            <w:tcW w:w="1563" w:type="dxa"/>
            <w:tcBorders>
              <w:top w:val="single" w:sz="4" w:space="0" w:color="auto"/>
              <w:bottom w:val="single" w:sz="4" w:space="0" w:color="auto"/>
            </w:tcBorders>
            <w:shd w:val="clear" w:color="auto" w:fill="auto"/>
          </w:tcPr>
          <w:p w14:paraId="039A457B" w14:textId="77777777" w:rsidR="00B545C4" w:rsidRPr="002B2C36" w:rsidRDefault="00B545C4" w:rsidP="003D43A0">
            <w:pPr>
              <w:spacing w:line="276" w:lineRule="auto"/>
              <w:rPr>
                <w:rFonts w:ascii="Arial" w:hAnsi="Arial" w:cs="Arial"/>
              </w:rPr>
            </w:pPr>
            <w:r>
              <w:rPr>
                <w:rFonts w:ascii="Arial" w:hAnsi="Arial" w:cs="Arial"/>
                <w:color w:val="222222"/>
                <w:sz w:val="22"/>
                <w:szCs w:val="22"/>
              </w:rPr>
              <w:t xml:space="preserve">     </w:t>
            </w:r>
            <w:r w:rsidRPr="00261D05">
              <w:rPr>
                <w:rFonts w:ascii="Arial" w:hAnsi="Arial" w:cs="Arial"/>
                <w:color w:val="222222"/>
                <w:sz w:val="22"/>
                <w:szCs w:val="22"/>
              </w:rPr>
              <w:t>3,05</w:t>
            </w:r>
          </w:p>
        </w:tc>
      </w:tr>
      <w:tr w:rsidR="00B545C4" w:rsidRPr="002B2C36" w14:paraId="7F7B8A30" w14:textId="77777777" w:rsidTr="003D43A0">
        <w:trPr>
          <w:trHeight w:val="299"/>
        </w:trPr>
        <w:tc>
          <w:tcPr>
            <w:tcW w:w="7281" w:type="dxa"/>
            <w:tcBorders>
              <w:top w:val="single" w:sz="4" w:space="0" w:color="auto"/>
              <w:bottom w:val="single" w:sz="4" w:space="0" w:color="auto"/>
            </w:tcBorders>
            <w:shd w:val="clear" w:color="auto" w:fill="auto"/>
          </w:tcPr>
          <w:p w14:paraId="48ECB8A7" w14:textId="77777777" w:rsidR="00B545C4" w:rsidRPr="002B2C36" w:rsidRDefault="00B545C4" w:rsidP="003D43A0">
            <w:pPr>
              <w:spacing w:line="276" w:lineRule="auto"/>
              <w:rPr>
                <w:rFonts w:ascii="Arial" w:hAnsi="Arial" w:cs="Arial"/>
              </w:rPr>
            </w:pPr>
            <w:r w:rsidRPr="007721AC">
              <w:rPr>
                <w:rFonts w:ascii="Arial" w:hAnsi="Arial" w:cs="Arial"/>
                <w:color w:val="222222"/>
                <w:sz w:val="22"/>
                <w:szCs w:val="22"/>
              </w:rPr>
              <w:t>Suprafață teren de intervenție</w:t>
            </w:r>
          </w:p>
        </w:tc>
        <w:tc>
          <w:tcPr>
            <w:tcW w:w="857" w:type="dxa"/>
            <w:tcBorders>
              <w:top w:val="single" w:sz="4" w:space="0" w:color="auto"/>
              <w:bottom w:val="single" w:sz="4" w:space="0" w:color="auto"/>
            </w:tcBorders>
            <w:shd w:val="clear" w:color="auto" w:fill="auto"/>
          </w:tcPr>
          <w:p w14:paraId="3C74B4E9" w14:textId="77777777" w:rsidR="00B545C4" w:rsidRPr="002B2C36" w:rsidRDefault="00B545C4" w:rsidP="003D43A0">
            <w:pPr>
              <w:spacing w:line="276" w:lineRule="auto"/>
              <w:jc w:val="center"/>
              <w:rPr>
                <w:rFonts w:ascii="Arial" w:hAnsi="Arial" w:cs="Arial"/>
              </w:rPr>
            </w:pPr>
            <w:r w:rsidRPr="001058EA">
              <w:rPr>
                <w:rFonts w:ascii="Arial" w:hAnsi="Arial" w:cs="Arial"/>
                <w:color w:val="222222"/>
                <w:sz w:val="22"/>
                <w:szCs w:val="22"/>
              </w:rPr>
              <w:t> mp</w:t>
            </w:r>
          </w:p>
        </w:tc>
        <w:tc>
          <w:tcPr>
            <w:tcW w:w="1563" w:type="dxa"/>
            <w:tcBorders>
              <w:top w:val="single" w:sz="4" w:space="0" w:color="auto"/>
              <w:bottom w:val="single" w:sz="4" w:space="0" w:color="auto"/>
            </w:tcBorders>
            <w:shd w:val="clear" w:color="auto" w:fill="auto"/>
          </w:tcPr>
          <w:p w14:paraId="644D2B1B" w14:textId="77777777" w:rsidR="00B545C4" w:rsidRPr="002B2C36" w:rsidRDefault="00B545C4" w:rsidP="003D43A0">
            <w:pPr>
              <w:spacing w:line="276" w:lineRule="auto"/>
              <w:rPr>
                <w:rFonts w:ascii="Arial" w:hAnsi="Arial" w:cs="Arial"/>
              </w:rPr>
            </w:pPr>
            <w:r w:rsidRPr="00261D05">
              <w:rPr>
                <w:rFonts w:ascii="Arial" w:hAnsi="Arial" w:cs="Arial"/>
                <w:color w:val="222222"/>
                <w:sz w:val="22"/>
                <w:szCs w:val="22"/>
              </w:rPr>
              <w:t> </w:t>
            </w:r>
            <w:r>
              <w:rPr>
                <w:rFonts w:ascii="Arial" w:hAnsi="Arial" w:cs="Arial"/>
                <w:color w:val="222222"/>
                <w:sz w:val="22"/>
                <w:szCs w:val="22"/>
              </w:rPr>
              <w:t xml:space="preserve">  </w:t>
            </w:r>
            <w:r w:rsidRPr="00261D05">
              <w:rPr>
                <w:rFonts w:ascii="Arial" w:hAnsi="Arial" w:cs="Arial"/>
                <w:color w:val="222222"/>
                <w:sz w:val="22"/>
                <w:szCs w:val="22"/>
              </w:rPr>
              <w:t>2.950</w:t>
            </w:r>
          </w:p>
        </w:tc>
      </w:tr>
      <w:tr w:rsidR="00B545C4" w:rsidRPr="002B2C36" w14:paraId="48C8A587" w14:textId="77777777" w:rsidTr="003D43A0">
        <w:trPr>
          <w:trHeight w:val="299"/>
        </w:trPr>
        <w:tc>
          <w:tcPr>
            <w:tcW w:w="7281" w:type="dxa"/>
            <w:tcBorders>
              <w:top w:val="single" w:sz="4" w:space="0" w:color="auto"/>
              <w:bottom w:val="single" w:sz="4" w:space="0" w:color="auto"/>
            </w:tcBorders>
            <w:shd w:val="clear" w:color="auto" w:fill="auto"/>
          </w:tcPr>
          <w:p w14:paraId="41715C68" w14:textId="77777777" w:rsidR="00B545C4" w:rsidRPr="002B2C36" w:rsidRDefault="00B545C4" w:rsidP="003D43A0">
            <w:pPr>
              <w:spacing w:line="276" w:lineRule="auto"/>
              <w:rPr>
                <w:rFonts w:ascii="Arial" w:hAnsi="Arial" w:cs="Arial"/>
              </w:rPr>
            </w:pPr>
            <w:r w:rsidRPr="007721AC">
              <w:rPr>
                <w:rFonts w:ascii="Arial" w:hAnsi="Arial" w:cs="Arial"/>
                <w:color w:val="222222"/>
                <w:sz w:val="22"/>
                <w:szCs w:val="22"/>
              </w:rPr>
              <w:t>Volum total de intervenție subteran</w:t>
            </w:r>
          </w:p>
        </w:tc>
        <w:tc>
          <w:tcPr>
            <w:tcW w:w="857" w:type="dxa"/>
            <w:tcBorders>
              <w:top w:val="single" w:sz="4" w:space="0" w:color="auto"/>
              <w:bottom w:val="single" w:sz="4" w:space="0" w:color="auto"/>
            </w:tcBorders>
            <w:shd w:val="clear" w:color="auto" w:fill="auto"/>
          </w:tcPr>
          <w:p w14:paraId="34F2DD1F" w14:textId="77777777" w:rsidR="00B545C4" w:rsidRPr="002B2C36" w:rsidRDefault="00B545C4" w:rsidP="003D43A0">
            <w:pPr>
              <w:spacing w:line="276" w:lineRule="auto"/>
              <w:jc w:val="center"/>
              <w:rPr>
                <w:rFonts w:ascii="Arial" w:hAnsi="Arial" w:cs="Arial"/>
              </w:rPr>
            </w:pPr>
            <w:r>
              <w:rPr>
                <w:rFonts w:ascii="Arial" w:hAnsi="Arial" w:cs="Arial"/>
              </w:rPr>
              <w:t>mc</w:t>
            </w:r>
          </w:p>
        </w:tc>
        <w:tc>
          <w:tcPr>
            <w:tcW w:w="1563" w:type="dxa"/>
            <w:tcBorders>
              <w:top w:val="single" w:sz="4" w:space="0" w:color="auto"/>
              <w:bottom w:val="single" w:sz="4" w:space="0" w:color="auto"/>
            </w:tcBorders>
            <w:shd w:val="clear" w:color="auto" w:fill="auto"/>
          </w:tcPr>
          <w:p w14:paraId="6419B1D8" w14:textId="77777777" w:rsidR="00B545C4" w:rsidRPr="002B2C36" w:rsidRDefault="00B545C4" w:rsidP="003D43A0">
            <w:pPr>
              <w:spacing w:line="276" w:lineRule="auto"/>
              <w:rPr>
                <w:rFonts w:ascii="Arial" w:hAnsi="Arial" w:cs="Arial"/>
              </w:rPr>
            </w:pPr>
            <w:r>
              <w:rPr>
                <w:rFonts w:ascii="Arial" w:hAnsi="Arial" w:cs="Arial"/>
                <w:color w:val="222222"/>
                <w:sz w:val="22"/>
                <w:szCs w:val="22"/>
              </w:rPr>
              <w:t xml:space="preserve"> </w:t>
            </w:r>
            <w:r w:rsidRPr="00261D05">
              <w:rPr>
                <w:rFonts w:ascii="Arial" w:hAnsi="Arial" w:cs="Arial"/>
                <w:color w:val="222222"/>
                <w:sz w:val="22"/>
                <w:szCs w:val="22"/>
              </w:rPr>
              <w:t>39.875</w:t>
            </w:r>
          </w:p>
        </w:tc>
      </w:tr>
      <w:tr w:rsidR="00B545C4" w:rsidRPr="002B2C36" w14:paraId="1535ADDD" w14:textId="77777777" w:rsidTr="003D43A0">
        <w:trPr>
          <w:trHeight w:val="299"/>
        </w:trPr>
        <w:tc>
          <w:tcPr>
            <w:tcW w:w="7281" w:type="dxa"/>
            <w:tcBorders>
              <w:top w:val="single" w:sz="4" w:space="0" w:color="auto"/>
              <w:bottom w:val="single" w:sz="4" w:space="0" w:color="auto"/>
            </w:tcBorders>
            <w:shd w:val="clear" w:color="auto" w:fill="auto"/>
          </w:tcPr>
          <w:p w14:paraId="548301C3" w14:textId="77777777" w:rsidR="00B545C4" w:rsidRPr="002B2C36" w:rsidRDefault="00B545C4" w:rsidP="003D43A0">
            <w:pPr>
              <w:spacing w:line="276" w:lineRule="auto"/>
              <w:rPr>
                <w:rFonts w:ascii="Arial" w:hAnsi="Arial" w:cs="Arial"/>
              </w:rPr>
            </w:pPr>
            <w:r w:rsidRPr="00EA742B">
              <w:rPr>
                <w:rFonts w:ascii="Arial" w:hAnsi="Arial" w:cs="Arial"/>
                <w:color w:val="222222"/>
                <w:sz w:val="22"/>
                <w:szCs w:val="22"/>
              </w:rPr>
              <w:t>Suprafața construită suprateran</w:t>
            </w:r>
          </w:p>
        </w:tc>
        <w:tc>
          <w:tcPr>
            <w:tcW w:w="857" w:type="dxa"/>
            <w:tcBorders>
              <w:top w:val="single" w:sz="4" w:space="0" w:color="auto"/>
              <w:bottom w:val="single" w:sz="4" w:space="0" w:color="auto"/>
            </w:tcBorders>
            <w:shd w:val="clear" w:color="auto" w:fill="auto"/>
          </w:tcPr>
          <w:p w14:paraId="40E767E3" w14:textId="77777777" w:rsidR="00B545C4" w:rsidRPr="002B2C36" w:rsidRDefault="00B545C4" w:rsidP="003D43A0">
            <w:pPr>
              <w:spacing w:line="276" w:lineRule="auto"/>
              <w:jc w:val="center"/>
              <w:rPr>
                <w:rFonts w:ascii="Arial" w:hAnsi="Arial" w:cs="Arial"/>
              </w:rPr>
            </w:pPr>
            <w:r>
              <w:rPr>
                <w:rFonts w:ascii="Arial" w:hAnsi="Arial" w:cs="Arial"/>
                <w:color w:val="222222"/>
                <w:sz w:val="22"/>
                <w:szCs w:val="22"/>
              </w:rPr>
              <w:t>mp</w:t>
            </w:r>
          </w:p>
        </w:tc>
        <w:tc>
          <w:tcPr>
            <w:tcW w:w="1563" w:type="dxa"/>
            <w:tcBorders>
              <w:top w:val="single" w:sz="4" w:space="0" w:color="auto"/>
              <w:bottom w:val="single" w:sz="4" w:space="0" w:color="auto"/>
            </w:tcBorders>
            <w:shd w:val="clear" w:color="auto" w:fill="auto"/>
          </w:tcPr>
          <w:p w14:paraId="08894556" w14:textId="77777777" w:rsidR="00B545C4" w:rsidRPr="002B2C36" w:rsidRDefault="00B545C4" w:rsidP="003D43A0">
            <w:pPr>
              <w:spacing w:line="276" w:lineRule="auto"/>
              <w:rPr>
                <w:rFonts w:ascii="Arial" w:hAnsi="Arial" w:cs="Arial"/>
              </w:rPr>
            </w:pPr>
            <w:r>
              <w:rPr>
                <w:rFonts w:ascii="Arial" w:hAnsi="Arial" w:cs="Arial"/>
                <w:color w:val="222222"/>
                <w:sz w:val="22"/>
                <w:szCs w:val="22"/>
              </w:rPr>
              <w:t xml:space="preserve">        </w:t>
            </w:r>
            <w:r w:rsidRPr="00261D05">
              <w:rPr>
                <w:rFonts w:ascii="Arial" w:hAnsi="Arial" w:cs="Arial"/>
                <w:color w:val="222222"/>
                <w:sz w:val="22"/>
                <w:szCs w:val="22"/>
              </w:rPr>
              <w:t>82</w:t>
            </w:r>
          </w:p>
        </w:tc>
      </w:tr>
      <w:tr w:rsidR="00B545C4" w:rsidRPr="002B2C36" w14:paraId="3A22402D" w14:textId="77777777" w:rsidTr="003D43A0">
        <w:trPr>
          <w:trHeight w:val="311"/>
        </w:trPr>
        <w:tc>
          <w:tcPr>
            <w:tcW w:w="7281" w:type="dxa"/>
            <w:tcBorders>
              <w:top w:val="single" w:sz="4" w:space="0" w:color="auto"/>
              <w:bottom w:val="single" w:sz="4" w:space="0" w:color="auto"/>
            </w:tcBorders>
            <w:shd w:val="clear" w:color="auto" w:fill="auto"/>
          </w:tcPr>
          <w:p w14:paraId="475BC4E9" w14:textId="77777777" w:rsidR="00B545C4" w:rsidRPr="002B2C36" w:rsidRDefault="00B545C4" w:rsidP="003D43A0">
            <w:pPr>
              <w:spacing w:line="276" w:lineRule="auto"/>
              <w:rPr>
                <w:rFonts w:ascii="Arial" w:hAnsi="Arial" w:cs="Arial"/>
              </w:rPr>
            </w:pPr>
            <w:r w:rsidRPr="00EA742B">
              <w:rPr>
                <w:rFonts w:ascii="Arial" w:hAnsi="Arial" w:cs="Arial"/>
                <w:color w:val="222222"/>
                <w:sz w:val="22"/>
                <w:szCs w:val="22"/>
              </w:rPr>
              <w:t>Suprafața desfășurată suprateran</w:t>
            </w:r>
          </w:p>
        </w:tc>
        <w:tc>
          <w:tcPr>
            <w:tcW w:w="857" w:type="dxa"/>
            <w:tcBorders>
              <w:top w:val="single" w:sz="4" w:space="0" w:color="auto"/>
              <w:bottom w:val="single" w:sz="4" w:space="0" w:color="auto"/>
            </w:tcBorders>
            <w:shd w:val="clear" w:color="auto" w:fill="auto"/>
          </w:tcPr>
          <w:p w14:paraId="269DFF61" w14:textId="77777777" w:rsidR="00B545C4" w:rsidRPr="002B2C36" w:rsidRDefault="00B545C4" w:rsidP="003D43A0">
            <w:pPr>
              <w:spacing w:line="276" w:lineRule="auto"/>
              <w:jc w:val="center"/>
              <w:rPr>
                <w:rFonts w:ascii="Arial" w:hAnsi="Arial" w:cs="Arial"/>
              </w:rPr>
            </w:pPr>
            <w:r w:rsidRPr="001058EA">
              <w:rPr>
                <w:rFonts w:ascii="Arial" w:hAnsi="Arial" w:cs="Arial"/>
                <w:color w:val="222222"/>
                <w:sz w:val="22"/>
                <w:szCs w:val="22"/>
              </w:rPr>
              <w:t>mp </w:t>
            </w:r>
          </w:p>
        </w:tc>
        <w:tc>
          <w:tcPr>
            <w:tcW w:w="1563" w:type="dxa"/>
            <w:tcBorders>
              <w:top w:val="single" w:sz="4" w:space="0" w:color="auto"/>
              <w:bottom w:val="single" w:sz="4" w:space="0" w:color="auto"/>
            </w:tcBorders>
            <w:shd w:val="clear" w:color="auto" w:fill="auto"/>
          </w:tcPr>
          <w:p w14:paraId="165AF2D3" w14:textId="77777777" w:rsidR="00B545C4" w:rsidRPr="002B2C36" w:rsidRDefault="00B545C4" w:rsidP="003D43A0">
            <w:pPr>
              <w:spacing w:line="276" w:lineRule="auto"/>
              <w:rPr>
                <w:rFonts w:ascii="Arial" w:hAnsi="Arial" w:cs="Arial"/>
              </w:rPr>
            </w:pPr>
            <w:r>
              <w:rPr>
                <w:rFonts w:ascii="Arial" w:hAnsi="Arial" w:cs="Arial"/>
                <w:color w:val="222222"/>
                <w:sz w:val="22"/>
                <w:szCs w:val="22"/>
              </w:rPr>
              <w:t xml:space="preserve">      </w:t>
            </w:r>
            <w:r w:rsidRPr="00261D05">
              <w:rPr>
                <w:rFonts w:ascii="Arial" w:hAnsi="Arial" w:cs="Arial"/>
                <w:color w:val="222222"/>
                <w:sz w:val="22"/>
                <w:szCs w:val="22"/>
              </w:rPr>
              <w:t>133</w:t>
            </w:r>
          </w:p>
        </w:tc>
      </w:tr>
      <w:tr w:rsidR="00B545C4" w:rsidRPr="002B2C36" w14:paraId="6F061A90" w14:textId="77777777" w:rsidTr="003D43A0">
        <w:trPr>
          <w:trHeight w:val="299"/>
        </w:trPr>
        <w:tc>
          <w:tcPr>
            <w:tcW w:w="7281" w:type="dxa"/>
            <w:tcBorders>
              <w:top w:val="single" w:sz="4" w:space="0" w:color="auto"/>
              <w:bottom w:val="single" w:sz="4" w:space="0" w:color="auto"/>
            </w:tcBorders>
            <w:shd w:val="clear" w:color="auto" w:fill="auto"/>
          </w:tcPr>
          <w:p w14:paraId="4F04C8AD" w14:textId="77777777" w:rsidR="00B545C4" w:rsidRPr="002B2C36" w:rsidRDefault="00B545C4" w:rsidP="003D43A0">
            <w:pPr>
              <w:spacing w:line="276" w:lineRule="auto"/>
              <w:rPr>
                <w:rFonts w:ascii="Arial" w:hAnsi="Arial" w:cs="Arial"/>
              </w:rPr>
            </w:pPr>
            <w:r w:rsidRPr="00EA742B">
              <w:rPr>
                <w:rFonts w:ascii="Arial" w:hAnsi="Arial" w:cs="Arial"/>
                <w:color w:val="222222"/>
                <w:sz w:val="22"/>
                <w:szCs w:val="22"/>
              </w:rPr>
              <w:t>Suprafața construită subteran</w:t>
            </w:r>
          </w:p>
        </w:tc>
        <w:tc>
          <w:tcPr>
            <w:tcW w:w="857" w:type="dxa"/>
            <w:tcBorders>
              <w:top w:val="single" w:sz="4" w:space="0" w:color="auto"/>
              <w:bottom w:val="single" w:sz="4" w:space="0" w:color="auto"/>
            </w:tcBorders>
            <w:shd w:val="clear" w:color="auto" w:fill="auto"/>
          </w:tcPr>
          <w:p w14:paraId="059375E2" w14:textId="77777777" w:rsidR="00B545C4" w:rsidRPr="002B2C36" w:rsidRDefault="00B545C4" w:rsidP="003D43A0">
            <w:pPr>
              <w:spacing w:line="276" w:lineRule="auto"/>
              <w:jc w:val="center"/>
              <w:rPr>
                <w:rFonts w:ascii="Arial" w:hAnsi="Arial" w:cs="Arial"/>
              </w:rPr>
            </w:pPr>
            <w:r w:rsidRPr="001058EA">
              <w:rPr>
                <w:rFonts w:ascii="Arial" w:hAnsi="Arial" w:cs="Arial"/>
                <w:color w:val="222222"/>
                <w:sz w:val="22"/>
                <w:szCs w:val="22"/>
              </w:rPr>
              <w:t>mp</w:t>
            </w:r>
          </w:p>
        </w:tc>
        <w:tc>
          <w:tcPr>
            <w:tcW w:w="1563" w:type="dxa"/>
            <w:tcBorders>
              <w:top w:val="single" w:sz="4" w:space="0" w:color="auto"/>
              <w:bottom w:val="single" w:sz="4" w:space="0" w:color="auto"/>
            </w:tcBorders>
            <w:shd w:val="clear" w:color="auto" w:fill="auto"/>
          </w:tcPr>
          <w:p w14:paraId="051E1B33" w14:textId="77777777" w:rsidR="00B545C4" w:rsidRPr="002B2C36" w:rsidRDefault="00B545C4" w:rsidP="003D43A0">
            <w:pPr>
              <w:spacing w:line="276" w:lineRule="auto"/>
              <w:rPr>
                <w:rFonts w:ascii="Arial" w:hAnsi="Arial" w:cs="Arial"/>
              </w:rPr>
            </w:pPr>
            <w:r>
              <w:rPr>
                <w:rFonts w:ascii="Arial" w:hAnsi="Arial" w:cs="Arial"/>
                <w:color w:val="222222"/>
                <w:sz w:val="22"/>
                <w:szCs w:val="22"/>
              </w:rPr>
              <w:t xml:space="preserve">   </w:t>
            </w:r>
            <w:r w:rsidRPr="00261D05">
              <w:rPr>
                <w:rFonts w:ascii="Arial" w:hAnsi="Arial" w:cs="Arial"/>
                <w:color w:val="222222"/>
                <w:sz w:val="22"/>
                <w:szCs w:val="22"/>
              </w:rPr>
              <w:t>2.225</w:t>
            </w:r>
          </w:p>
        </w:tc>
      </w:tr>
      <w:tr w:rsidR="00B545C4" w:rsidRPr="002B2C36" w14:paraId="6A5FE642" w14:textId="77777777" w:rsidTr="003D43A0">
        <w:trPr>
          <w:trHeight w:val="299"/>
        </w:trPr>
        <w:tc>
          <w:tcPr>
            <w:tcW w:w="7281" w:type="dxa"/>
            <w:tcBorders>
              <w:top w:val="single" w:sz="4" w:space="0" w:color="auto"/>
              <w:bottom w:val="single" w:sz="4" w:space="0" w:color="auto"/>
            </w:tcBorders>
            <w:shd w:val="clear" w:color="auto" w:fill="auto"/>
          </w:tcPr>
          <w:p w14:paraId="5835F881" w14:textId="77777777" w:rsidR="00B545C4" w:rsidRPr="002B2C36" w:rsidRDefault="00B545C4" w:rsidP="003D43A0">
            <w:pPr>
              <w:spacing w:line="276" w:lineRule="auto"/>
              <w:rPr>
                <w:rFonts w:ascii="Arial" w:hAnsi="Arial" w:cs="Arial"/>
              </w:rPr>
            </w:pPr>
            <w:r w:rsidRPr="00EA742B">
              <w:rPr>
                <w:rFonts w:ascii="Arial" w:hAnsi="Arial" w:cs="Arial"/>
                <w:color w:val="222222"/>
                <w:sz w:val="22"/>
                <w:szCs w:val="22"/>
              </w:rPr>
              <w:t>Suprafața desfășurată subteran</w:t>
            </w:r>
          </w:p>
        </w:tc>
        <w:tc>
          <w:tcPr>
            <w:tcW w:w="857" w:type="dxa"/>
            <w:tcBorders>
              <w:top w:val="single" w:sz="4" w:space="0" w:color="auto"/>
              <w:bottom w:val="single" w:sz="4" w:space="0" w:color="auto"/>
            </w:tcBorders>
            <w:shd w:val="clear" w:color="auto" w:fill="auto"/>
          </w:tcPr>
          <w:p w14:paraId="298B3FD0" w14:textId="77777777" w:rsidR="00B545C4" w:rsidRPr="002B2C36" w:rsidRDefault="00B545C4" w:rsidP="003D43A0">
            <w:pPr>
              <w:spacing w:line="276" w:lineRule="auto"/>
              <w:jc w:val="center"/>
              <w:rPr>
                <w:rFonts w:ascii="Arial" w:hAnsi="Arial" w:cs="Arial"/>
              </w:rPr>
            </w:pPr>
            <w:r w:rsidRPr="001058EA">
              <w:rPr>
                <w:rFonts w:ascii="Arial" w:hAnsi="Arial" w:cs="Arial"/>
                <w:color w:val="222222"/>
                <w:sz w:val="22"/>
                <w:szCs w:val="22"/>
              </w:rPr>
              <w:t>mp</w:t>
            </w:r>
          </w:p>
        </w:tc>
        <w:tc>
          <w:tcPr>
            <w:tcW w:w="1563" w:type="dxa"/>
            <w:tcBorders>
              <w:top w:val="single" w:sz="4" w:space="0" w:color="auto"/>
              <w:bottom w:val="single" w:sz="4" w:space="0" w:color="auto"/>
            </w:tcBorders>
            <w:shd w:val="clear" w:color="auto" w:fill="auto"/>
          </w:tcPr>
          <w:p w14:paraId="5E1BC4F5" w14:textId="77777777" w:rsidR="00B545C4" w:rsidRPr="002B2C36" w:rsidRDefault="00B545C4" w:rsidP="003D43A0">
            <w:pPr>
              <w:spacing w:line="276" w:lineRule="auto"/>
              <w:rPr>
                <w:rFonts w:ascii="Arial" w:hAnsi="Arial" w:cs="Arial"/>
              </w:rPr>
            </w:pPr>
            <w:r>
              <w:rPr>
                <w:rFonts w:ascii="Arial" w:hAnsi="Arial" w:cs="Arial"/>
                <w:color w:val="222222"/>
                <w:sz w:val="22"/>
                <w:szCs w:val="22"/>
              </w:rPr>
              <w:t xml:space="preserve">   </w:t>
            </w:r>
            <w:r w:rsidRPr="00261D05">
              <w:rPr>
                <w:rFonts w:ascii="Arial" w:hAnsi="Arial" w:cs="Arial"/>
                <w:color w:val="222222"/>
                <w:sz w:val="22"/>
                <w:szCs w:val="22"/>
              </w:rPr>
              <w:t>8.900</w:t>
            </w:r>
          </w:p>
        </w:tc>
      </w:tr>
      <w:tr w:rsidR="00B545C4" w:rsidRPr="002B2C36" w14:paraId="53F1017C" w14:textId="77777777" w:rsidTr="003D43A0">
        <w:trPr>
          <w:trHeight w:val="299"/>
        </w:trPr>
        <w:tc>
          <w:tcPr>
            <w:tcW w:w="7281" w:type="dxa"/>
            <w:tcBorders>
              <w:top w:val="single" w:sz="4" w:space="0" w:color="auto"/>
              <w:bottom w:val="single" w:sz="4" w:space="0" w:color="auto"/>
            </w:tcBorders>
            <w:shd w:val="clear" w:color="auto" w:fill="auto"/>
          </w:tcPr>
          <w:p w14:paraId="7C116A75" w14:textId="77777777" w:rsidR="00B545C4" w:rsidRPr="002B2C36" w:rsidRDefault="00B545C4" w:rsidP="003D43A0">
            <w:pPr>
              <w:spacing w:line="276" w:lineRule="auto"/>
              <w:rPr>
                <w:rFonts w:ascii="Arial" w:hAnsi="Arial" w:cs="Arial"/>
              </w:rPr>
            </w:pPr>
            <w:r w:rsidRPr="00EA742B">
              <w:rPr>
                <w:rFonts w:ascii="Arial" w:hAnsi="Arial" w:cs="Arial"/>
                <w:color w:val="222222"/>
                <w:sz w:val="22"/>
                <w:szCs w:val="22"/>
              </w:rPr>
              <w:t>Suprafața desfășurată TOTAL</w:t>
            </w:r>
          </w:p>
        </w:tc>
        <w:tc>
          <w:tcPr>
            <w:tcW w:w="857" w:type="dxa"/>
            <w:tcBorders>
              <w:top w:val="single" w:sz="4" w:space="0" w:color="auto"/>
              <w:bottom w:val="single" w:sz="4" w:space="0" w:color="auto"/>
            </w:tcBorders>
            <w:shd w:val="clear" w:color="auto" w:fill="auto"/>
          </w:tcPr>
          <w:p w14:paraId="432E0DB4" w14:textId="77777777" w:rsidR="00B545C4" w:rsidRPr="002B2C36" w:rsidRDefault="00B545C4" w:rsidP="003D43A0">
            <w:pPr>
              <w:spacing w:line="276" w:lineRule="auto"/>
              <w:jc w:val="center"/>
              <w:rPr>
                <w:rFonts w:ascii="Arial" w:hAnsi="Arial" w:cs="Arial"/>
              </w:rPr>
            </w:pPr>
            <w:r w:rsidRPr="001058EA">
              <w:rPr>
                <w:rFonts w:ascii="Arial" w:hAnsi="Arial" w:cs="Arial"/>
                <w:color w:val="222222"/>
                <w:sz w:val="22"/>
                <w:szCs w:val="22"/>
              </w:rPr>
              <w:t>mp</w:t>
            </w:r>
          </w:p>
        </w:tc>
        <w:tc>
          <w:tcPr>
            <w:tcW w:w="1563" w:type="dxa"/>
            <w:tcBorders>
              <w:top w:val="single" w:sz="4" w:space="0" w:color="auto"/>
              <w:bottom w:val="single" w:sz="4" w:space="0" w:color="auto"/>
            </w:tcBorders>
            <w:shd w:val="clear" w:color="auto" w:fill="auto"/>
          </w:tcPr>
          <w:p w14:paraId="58D08E54" w14:textId="77777777" w:rsidR="00B545C4" w:rsidRPr="002B2C36" w:rsidRDefault="00B545C4" w:rsidP="003D43A0">
            <w:pPr>
              <w:spacing w:line="276" w:lineRule="auto"/>
              <w:rPr>
                <w:rFonts w:ascii="Arial" w:hAnsi="Arial" w:cs="Arial"/>
              </w:rPr>
            </w:pPr>
            <w:r>
              <w:rPr>
                <w:rFonts w:ascii="Arial" w:hAnsi="Arial" w:cs="Arial"/>
                <w:color w:val="222222"/>
                <w:sz w:val="22"/>
                <w:szCs w:val="22"/>
              </w:rPr>
              <w:t xml:space="preserve">   </w:t>
            </w:r>
            <w:r w:rsidRPr="00261D05">
              <w:rPr>
                <w:rFonts w:ascii="Arial" w:hAnsi="Arial" w:cs="Arial"/>
                <w:color w:val="222222"/>
                <w:sz w:val="22"/>
                <w:szCs w:val="22"/>
              </w:rPr>
              <w:t>9.033</w:t>
            </w:r>
          </w:p>
        </w:tc>
      </w:tr>
      <w:tr w:rsidR="00B545C4" w:rsidRPr="002B2C36" w14:paraId="73B26D01" w14:textId="77777777" w:rsidTr="003D43A0">
        <w:trPr>
          <w:trHeight w:val="299"/>
        </w:trPr>
        <w:tc>
          <w:tcPr>
            <w:tcW w:w="7281" w:type="dxa"/>
            <w:tcBorders>
              <w:top w:val="single" w:sz="4" w:space="0" w:color="auto"/>
              <w:bottom w:val="single" w:sz="4" w:space="0" w:color="auto"/>
            </w:tcBorders>
            <w:shd w:val="clear" w:color="auto" w:fill="auto"/>
          </w:tcPr>
          <w:p w14:paraId="5FD2CB23" w14:textId="77777777" w:rsidR="00B545C4" w:rsidRPr="002B2C36" w:rsidRDefault="00B545C4" w:rsidP="003D43A0">
            <w:pPr>
              <w:spacing w:line="276" w:lineRule="auto"/>
              <w:rPr>
                <w:rFonts w:ascii="Arial" w:hAnsi="Arial" w:cs="Arial"/>
              </w:rPr>
            </w:pPr>
            <w:r w:rsidRPr="00EA742B">
              <w:rPr>
                <w:rFonts w:ascii="Arial" w:hAnsi="Arial" w:cs="Arial"/>
                <w:color w:val="222222"/>
                <w:sz w:val="22"/>
                <w:szCs w:val="22"/>
              </w:rPr>
              <w:t>Suprafață 1 nivel parking</w:t>
            </w:r>
          </w:p>
        </w:tc>
        <w:tc>
          <w:tcPr>
            <w:tcW w:w="857" w:type="dxa"/>
            <w:tcBorders>
              <w:top w:val="single" w:sz="4" w:space="0" w:color="auto"/>
              <w:bottom w:val="single" w:sz="4" w:space="0" w:color="auto"/>
            </w:tcBorders>
            <w:shd w:val="clear" w:color="auto" w:fill="auto"/>
          </w:tcPr>
          <w:p w14:paraId="34C7D66E" w14:textId="77777777" w:rsidR="00B545C4" w:rsidRPr="002B2C36" w:rsidRDefault="00B545C4" w:rsidP="003D43A0">
            <w:pPr>
              <w:spacing w:line="276" w:lineRule="auto"/>
              <w:jc w:val="center"/>
              <w:rPr>
                <w:rFonts w:ascii="Arial" w:hAnsi="Arial" w:cs="Arial"/>
              </w:rPr>
            </w:pPr>
            <w:r w:rsidRPr="001058EA">
              <w:rPr>
                <w:rFonts w:ascii="Arial" w:hAnsi="Arial" w:cs="Arial"/>
                <w:color w:val="222222"/>
                <w:sz w:val="22"/>
                <w:szCs w:val="22"/>
              </w:rPr>
              <w:t>mp</w:t>
            </w:r>
          </w:p>
        </w:tc>
        <w:tc>
          <w:tcPr>
            <w:tcW w:w="1563" w:type="dxa"/>
            <w:tcBorders>
              <w:top w:val="single" w:sz="4" w:space="0" w:color="auto"/>
              <w:bottom w:val="single" w:sz="4" w:space="0" w:color="auto"/>
            </w:tcBorders>
            <w:shd w:val="clear" w:color="auto" w:fill="auto"/>
          </w:tcPr>
          <w:p w14:paraId="717A1632" w14:textId="77777777" w:rsidR="00B545C4" w:rsidRPr="002B2C36" w:rsidRDefault="00B545C4" w:rsidP="003D43A0">
            <w:pPr>
              <w:spacing w:line="276" w:lineRule="auto"/>
              <w:rPr>
                <w:rFonts w:ascii="Arial" w:hAnsi="Arial" w:cs="Arial"/>
              </w:rPr>
            </w:pPr>
            <w:r>
              <w:rPr>
                <w:rFonts w:ascii="Arial" w:hAnsi="Arial" w:cs="Arial"/>
                <w:color w:val="222222"/>
                <w:sz w:val="22"/>
                <w:szCs w:val="22"/>
              </w:rPr>
              <w:t xml:space="preserve">   </w:t>
            </w:r>
            <w:r w:rsidRPr="00261D05">
              <w:rPr>
                <w:rFonts w:ascii="Arial" w:hAnsi="Arial" w:cs="Arial"/>
                <w:color w:val="222222"/>
                <w:sz w:val="22"/>
                <w:szCs w:val="22"/>
              </w:rPr>
              <w:t>1.990</w:t>
            </w:r>
          </w:p>
        </w:tc>
      </w:tr>
      <w:tr w:rsidR="00B545C4" w:rsidRPr="002B2C36" w14:paraId="15E83D18" w14:textId="77777777" w:rsidTr="003D43A0">
        <w:trPr>
          <w:trHeight w:val="299"/>
        </w:trPr>
        <w:tc>
          <w:tcPr>
            <w:tcW w:w="7281" w:type="dxa"/>
            <w:tcBorders>
              <w:top w:val="single" w:sz="4" w:space="0" w:color="auto"/>
              <w:bottom w:val="single" w:sz="4" w:space="0" w:color="auto"/>
            </w:tcBorders>
            <w:shd w:val="clear" w:color="auto" w:fill="auto"/>
          </w:tcPr>
          <w:p w14:paraId="1F0CAE7C" w14:textId="77777777" w:rsidR="00B545C4" w:rsidRPr="002B2C36" w:rsidRDefault="00B545C4" w:rsidP="003D43A0">
            <w:pPr>
              <w:spacing w:line="276" w:lineRule="auto"/>
              <w:rPr>
                <w:rFonts w:ascii="Arial" w:hAnsi="Arial" w:cs="Arial"/>
              </w:rPr>
            </w:pPr>
            <w:r w:rsidRPr="00EA742B">
              <w:rPr>
                <w:rFonts w:ascii="Arial" w:hAnsi="Arial" w:cs="Arial"/>
                <w:color w:val="222222"/>
                <w:sz w:val="22"/>
                <w:szCs w:val="22"/>
              </w:rPr>
              <w:t>Suprafață 1 nivel tehnic</w:t>
            </w:r>
          </w:p>
        </w:tc>
        <w:tc>
          <w:tcPr>
            <w:tcW w:w="857" w:type="dxa"/>
            <w:tcBorders>
              <w:top w:val="single" w:sz="4" w:space="0" w:color="auto"/>
              <w:bottom w:val="single" w:sz="4" w:space="0" w:color="auto"/>
            </w:tcBorders>
            <w:shd w:val="clear" w:color="auto" w:fill="auto"/>
          </w:tcPr>
          <w:p w14:paraId="448E8CE9" w14:textId="77777777" w:rsidR="00B545C4" w:rsidRPr="002B2C36" w:rsidRDefault="00B545C4" w:rsidP="003D43A0">
            <w:pPr>
              <w:spacing w:line="276" w:lineRule="auto"/>
              <w:jc w:val="center"/>
              <w:rPr>
                <w:rFonts w:ascii="Arial" w:hAnsi="Arial" w:cs="Arial"/>
              </w:rPr>
            </w:pPr>
            <w:r w:rsidRPr="001058EA">
              <w:rPr>
                <w:rFonts w:ascii="Arial" w:hAnsi="Arial" w:cs="Arial"/>
                <w:color w:val="222222"/>
                <w:sz w:val="22"/>
                <w:szCs w:val="22"/>
              </w:rPr>
              <w:t>mp</w:t>
            </w:r>
          </w:p>
        </w:tc>
        <w:tc>
          <w:tcPr>
            <w:tcW w:w="1563" w:type="dxa"/>
            <w:tcBorders>
              <w:top w:val="single" w:sz="4" w:space="0" w:color="auto"/>
              <w:bottom w:val="single" w:sz="4" w:space="0" w:color="auto"/>
            </w:tcBorders>
            <w:shd w:val="clear" w:color="auto" w:fill="auto"/>
          </w:tcPr>
          <w:p w14:paraId="2BC09386" w14:textId="77777777" w:rsidR="00B545C4" w:rsidRPr="002B2C36" w:rsidRDefault="00B545C4" w:rsidP="003D43A0">
            <w:pPr>
              <w:spacing w:line="276" w:lineRule="auto"/>
              <w:rPr>
                <w:rFonts w:ascii="Arial" w:hAnsi="Arial" w:cs="Arial"/>
              </w:rPr>
            </w:pPr>
            <w:r>
              <w:rPr>
                <w:rFonts w:ascii="Arial" w:hAnsi="Arial" w:cs="Arial"/>
              </w:rPr>
              <w:t xml:space="preserve">     237</w:t>
            </w:r>
          </w:p>
        </w:tc>
      </w:tr>
      <w:tr w:rsidR="00B545C4" w:rsidRPr="002B2C36" w14:paraId="77B860FC" w14:textId="77777777" w:rsidTr="003D43A0">
        <w:trPr>
          <w:trHeight w:val="299"/>
        </w:trPr>
        <w:tc>
          <w:tcPr>
            <w:tcW w:w="7281" w:type="dxa"/>
            <w:tcBorders>
              <w:top w:val="single" w:sz="4" w:space="0" w:color="auto"/>
              <w:bottom w:val="single" w:sz="4" w:space="0" w:color="auto"/>
            </w:tcBorders>
            <w:shd w:val="clear" w:color="auto" w:fill="auto"/>
          </w:tcPr>
          <w:p w14:paraId="097C8B27" w14:textId="77777777" w:rsidR="00B545C4" w:rsidRPr="002B2C36" w:rsidRDefault="00B545C4" w:rsidP="003D43A0">
            <w:pPr>
              <w:spacing w:line="276" w:lineRule="auto"/>
              <w:rPr>
                <w:rFonts w:ascii="Arial" w:hAnsi="Arial" w:cs="Arial"/>
              </w:rPr>
            </w:pPr>
            <w:r>
              <w:rPr>
                <w:rFonts w:ascii="Arial" w:hAnsi="Arial" w:cs="Arial"/>
                <w:color w:val="222222"/>
                <w:sz w:val="22"/>
                <w:szCs w:val="22"/>
                <w:shd w:val="clear" w:color="auto" w:fill="FFFFFF"/>
              </w:rPr>
              <w:t>Locuri de parcare subteran</w:t>
            </w:r>
          </w:p>
        </w:tc>
        <w:tc>
          <w:tcPr>
            <w:tcW w:w="857" w:type="dxa"/>
            <w:tcBorders>
              <w:top w:val="single" w:sz="4" w:space="0" w:color="auto"/>
              <w:bottom w:val="single" w:sz="4" w:space="0" w:color="auto"/>
            </w:tcBorders>
            <w:shd w:val="clear" w:color="auto" w:fill="auto"/>
          </w:tcPr>
          <w:p w14:paraId="09F30AF2" w14:textId="77777777" w:rsidR="00B545C4" w:rsidRPr="002B2C36" w:rsidRDefault="00B545C4" w:rsidP="003D43A0">
            <w:pPr>
              <w:spacing w:line="276" w:lineRule="auto"/>
              <w:jc w:val="center"/>
              <w:rPr>
                <w:rFonts w:ascii="Arial" w:hAnsi="Arial" w:cs="Arial"/>
              </w:rPr>
            </w:pPr>
            <w:r>
              <w:rPr>
                <w:rFonts w:ascii="Arial" w:hAnsi="Arial" w:cs="Arial"/>
              </w:rPr>
              <w:t>buc</w:t>
            </w:r>
          </w:p>
        </w:tc>
        <w:tc>
          <w:tcPr>
            <w:tcW w:w="1563" w:type="dxa"/>
            <w:tcBorders>
              <w:top w:val="single" w:sz="4" w:space="0" w:color="auto"/>
              <w:bottom w:val="single" w:sz="4" w:space="0" w:color="auto"/>
            </w:tcBorders>
            <w:shd w:val="clear" w:color="auto" w:fill="auto"/>
          </w:tcPr>
          <w:p w14:paraId="4BF7AD18" w14:textId="77777777" w:rsidR="00B545C4" w:rsidRPr="002B2C36" w:rsidRDefault="00B545C4" w:rsidP="003D43A0">
            <w:pPr>
              <w:spacing w:line="276" w:lineRule="auto"/>
              <w:rPr>
                <w:rFonts w:ascii="Arial" w:hAnsi="Arial" w:cs="Arial"/>
              </w:rPr>
            </w:pPr>
            <w:r>
              <w:rPr>
                <w:rFonts w:ascii="Arial" w:hAnsi="Arial" w:cs="Arial"/>
              </w:rPr>
              <w:t xml:space="preserve">     259</w:t>
            </w:r>
          </w:p>
        </w:tc>
      </w:tr>
    </w:tbl>
    <w:p w14:paraId="776D99A1" w14:textId="77777777" w:rsidR="00B545C4" w:rsidRPr="002B2C36" w:rsidRDefault="00B545C4" w:rsidP="00B545C4">
      <w:pPr>
        <w:tabs>
          <w:tab w:val="left" w:pos="4050"/>
        </w:tabs>
        <w:spacing w:before="60" w:after="60" w:line="276" w:lineRule="auto"/>
        <w:ind w:right="17"/>
        <w:jc w:val="both"/>
        <w:rPr>
          <w:bCs/>
          <w:i/>
          <w:iCs/>
          <w:lang w:eastAsia="en-GB"/>
        </w:rPr>
      </w:pPr>
      <w:r w:rsidRPr="002B2C36">
        <w:rPr>
          <w:bCs/>
          <w:iCs/>
          <w:lang w:eastAsia="en-GB"/>
        </w:rPr>
        <w:t xml:space="preserve">c) </w:t>
      </w:r>
      <w:r w:rsidRPr="002B2C36">
        <w:rPr>
          <w:bCs/>
          <w:i/>
          <w:iCs/>
          <w:lang w:eastAsia="en-GB"/>
        </w:rPr>
        <w:t>descrierea sumara a proiectului:</w:t>
      </w:r>
    </w:p>
    <w:p w14:paraId="42ABBFE2"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Se propune așadar construirea unui parking cu 4 niveluri (8 seminiveluri) subterane. Acesta se va realiza sub zona parcărilor supraterane existente din fața fostului hotel Parc. Parțial construcția se va situa și sub străzile existente Enescu și Primăriei, care la rândul lor sunt propuse pentru pietonalizare.</w:t>
      </w:r>
    </w:p>
    <w:p w14:paraId="51ED0775"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Amplasarea obiectului construit a fost astfel realizat, încât au fost luate în considerare distanțele construcțiilor existente de pe laturile tuturor străzilor perimetrale, precum și poziția arborilor existenți astfel, încât să se păstreze cât mai multe din ele, iar într-un final să favorizeze realizarea în condiții cât mai avantajoase a unei piețe urbane.</w:t>
      </w:r>
    </w:p>
    <w:p w14:paraId="0D4402DA"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Partea supraterană a construcției reprezintă ieșirile peste nivelul solului a celor două case ale scării care permite circulația pietonală a parkingului. Cele două „obiecte” ale caselor de scară sunt legate cu o învelitoare, acestea împreună fac deja parte compozițional din viitorul scuar și spațiu pietonal urban, care urmează să se realizeze.</w:t>
      </w:r>
    </w:p>
    <w:p w14:paraId="052E1587" w14:textId="77777777" w:rsidR="00B545C4"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Accesul carosabil este corelat cu sensul giratoriu Cuza Vodă – Enescu – Libertății – Baladei, astfel încât intrarea și ieșirea automobilelor chiar să ajute la fluidizarea circulației.</w:t>
      </w:r>
    </w:p>
    <w:p w14:paraId="53FC9596"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 xml:space="preserve">Prin proiect practic se dublează locurile de parcare desființate, iar dacă luăm în considerare zona extinsă (incinta Casei Sindicatelor, parcela neconstruită și strada Tineretului), se propun cca. 60 de </w:t>
      </w:r>
      <w:r w:rsidRPr="00196A15">
        <w:rPr>
          <w:rFonts w:ascii="Arial" w:eastAsia="SimSun" w:hAnsi="Arial" w:cs="Arial"/>
          <w:kern w:val="2"/>
          <w:sz w:val="22"/>
          <w:szCs w:val="22"/>
          <w:lang w:eastAsia="zh-CN" w:bidi="hi-IN"/>
        </w:rPr>
        <w:lastRenderedPageBreak/>
        <w:t>locuri de parcare în plus (cca. 30%) față de cele existente.</w:t>
      </w:r>
    </w:p>
    <w:p w14:paraId="1C038884"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Pentru eficientizarea costurilor, nu am propus subteran parcarea bicicletelor și trotinetelor. Ele se vor amplasa suprateran și vor fi propuse în cadrul pietonalizării ansamblului străzilor sus amintite.</w:t>
      </w:r>
    </w:p>
    <w:p w14:paraId="4E98EE71"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Prin proiect propunem puncte de reîncărcare a mașinilor pentru 10% din numărul total al locurilor de parcare, cu posibilitatea de a echipa în viitor toate locurile de parcare.</w:t>
      </w:r>
    </w:p>
    <w:p w14:paraId="5C00519F"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Parkingul preconizat preia formula parcajelor în rampe Ferdinand D’Humy (datate din al treilea deceniu al secolului XX din S.U.A.) cu palier dublu în parcaj perpendicular, organizat pe seminivele decalate. Soluția folosește suita palierelor decalate și legate cu 4 rampe, cu acces principal în câmp la cca 1/3 și câte două pe extremități, rezultând o buclă de circulație ce facilitează atât ocuparea cât și evacuarea lizibilă și rapidă. Toate circulațiile se realizează cu sens unic fără intersectări de fluxuri.</w:t>
      </w:r>
    </w:p>
    <w:p w14:paraId="1348222C"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Pentru o gestionare corectă a fluxurilor de intrare şi ieşire am propus așezarea benzilor de circulație corelat cu sensul giratoriu și trecerile pietonale, astfel încât spațiile tehnice să fie grupate pe verticală, sub culoarul principal de intrare-ieșire.</w:t>
      </w:r>
    </w:p>
    <w:p w14:paraId="5153AA8E"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Desfumarea/ventilarea volumului subteran se realizaeză prin grilaje amplasate la nivelul solului.</w:t>
      </w:r>
    </w:p>
    <w:p w14:paraId="11C2E8BF"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Clădirea se compune dintr-o amplă cuvă de beton armat hidroizolat și un miez interior asociat, pe 6(+1) x 8 travei structurale susținute de pile/diafragme și planșee masive din beton armat. Toate acestea sunt dimensionate pentru o tramă optimizată de parcare cât mai încăpătoare, folosind valorile mai mari ale normelor pentru parcări. Cele 6 travei perpendiculare se grupează pe 2 căi de circulație sens unic + benzi pietonale vopsite pe pardoseală. Perpendicular pe această cale de circulație se situează 2+2 rânduri de parcări perpendiculare cu profunzime de 500 cm.</w:t>
      </w:r>
    </w:p>
    <w:p w14:paraId="7D67B515"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În ceea ce privește dimensionarea structurilor portante s-a avut în vedere ca acestea să poată îngloba elemente de instalații în vederea obținerii unei echipări fără parazitarea imaginii interioare.</w:t>
      </w:r>
    </w:p>
    <w:p w14:paraId="0E9AF4B2" w14:textId="77777777" w:rsidR="00B545C4" w:rsidRPr="00196A15"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Este de precizat faptul că datorită decalărilor de seminivel, persoanele cu handicap locomotor (precum și părinții cu cărucioare de copii) sunt direcționați pentru a folosi seminivelele care sunt legate cu nivelul suprateran prin ascensor.</w:t>
      </w:r>
    </w:p>
    <w:p w14:paraId="69AA1320" w14:textId="77777777" w:rsidR="00B545C4" w:rsidRDefault="00B545C4" w:rsidP="00B545C4">
      <w:pPr>
        <w:spacing w:line="276" w:lineRule="auto"/>
        <w:jc w:val="both"/>
        <w:rPr>
          <w:rFonts w:ascii="Arial" w:eastAsia="SimSun" w:hAnsi="Arial" w:cs="Arial"/>
          <w:kern w:val="2"/>
          <w:sz w:val="22"/>
          <w:szCs w:val="22"/>
          <w:lang w:eastAsia="zh-CN" w:bidi="hi-IN"/>
        </w:rPr>
      </w:pPr>
      <w:r w:rsidRPr="00196A15">
        <w:rPr>
          <w:rFonts w:ascii="Arial" w:eastAsia="SimSun" w:hAnsi="Arial" w:cs="Arial"/>
          <w:kern w:val="2"/>
          <w:sz w:val="22"/>
          <w:szCs w:val="22"/>
          <w:lang w:eastAsia="zh-CN" w:bidi="hi-IN"/>
        </w:rPr>
        <w:t>La subsol 1 s-a prevăzut funcțiunea auxiliară a grupurilor sanitare. Acesta este cuplată cu spațiile tehnice necesare funcționării în siguranță a ansamblului. În apropierea ieșirii din parking este aplasată încăperea de control și supraveghere.</w:t>
      </w:r>
    </w:p>
    <w:p w14:paraId="3CAC90E3" w14:textId="77777777" w:rsidR="00B545C4" w:rsidRPr="00196A15" w:rsidRDefault="00B545C4" w:rsidP="00B545C4">
      <w:pPr>
        <w:spacing w:line="276" w:lineRule="auto"/>
        <w:jc w:val="both"/>
        <w:rPr>
          <w:rFonts w:eastAsia="SimSun" w:cs="Arial"/>
          <w:kern w:val="2"/>
          <w:lang w:eastAsia="zh-CN" w:bidi="hi-IN"/>
        </w:rPr>
      </w:pPr>
      <w:r w:rsidRPr="00196A15">
        <w:rPr>
          <w:rFonts w:ascii="Arial" w:eastAsia="Roboto Light" w:hAnsi="Arial" w:cs="Arial"/>
          <w:kern w:val="2"/>
          <w:sz w:val="22"/>
          <w:szCs w:val="22"/>
          <w:lang w:eastAsia="zh-CN" w:bidi="hi-IN"/>
        </w:rPr>
        <w:t>Având în vedere adâncimea săpăturii, pentru optimizarea structurii de pereți, având funcțiune</w:t>
      </w:r>
    </w:p>
    <w:p w14:paraId="433F1B46" w14:textId="77777777" w:rsidR="00B545C4" w:rsidRPr="00196A15" w:rsidRDefault="00B545C4" w:rsidP="00B545C4">
      <w:pPr>
        <w:spacing w:line="276" w:lineRule="auto"/>
        <w:jc w:val="both"/>
        <w:rPr>
          <w:rFonts w:ascii="Arial" w:eastAsia="Roboto Light" w:hAnsi="Arial" w:cs="Arial"/>
          <w:kern w:val="2"/>
          <w:sz w:val="22"/>
          <w:szCs w:val="22"/>
          <w:lang w:eastAsia="zh-CN" w:bidi="hi-IN"/>
        </w:rPr>
      </w:pPr>
      <w:r w:rsidRPr="00196A15">
        <w:rPr>
          <w:rFonts w:ascii="Arial" w:eastAsia="Roboto Light" w:hAnsi="Arial" w:cs="Arial"/>
          <w:kern w:val="2"/>
          <w:sz w:val="22"/>
          <w:szCs w:val="22"/>
          <w:lang w:eastAsia="zh-CN" w:bidi="hi-IN"/>
        </w:rPr>
        <w:t>provizorie până la finalizarea structurii de rezistență a clădirii, se prevăd sisteme de rezemare.</w:t>
      </w:r>
    </w:p>
    <w:p w14:paraId="670618DB" w14:textId="77777777" w:rsidR="00B545C4" w:rsidRPr="00196A15" w:rsidRDefault="00B545C4" w:rsidP="00B545C4">
      <w:pPr>
        <w:spacing w:line="276" w:lineRule="auto"/>
        <w:rPr>
          <w:rFonts w:ascii="Arial" w:eastAsia="Roboto Light" w:hAnsi="Arial" w:cs="Arial"/>
          <w:kern w:val="2"/>
          <w:sz w:val="22"/>
          <w:szCs w:val="22"/>
          <w:lang w:eastAsia="zh-CN" w:bidi="hi-IN"/>
        </w:rPr>
      </w:pPr>
    </w:p>
    <w:p w14:paraId="6FF46DE3" w14:textId="77777777" w:rsidR="00B545C4" w:rsidRPr="00196A15" w:rsidRDefault="00B545C4" w:rsidP="00B545C4">
      <w:pPr>
        <w:spacing w:line="276" w:lineRule="auto"/>
        <w:rPr>
          <w:rFonts w:ascii="Arial" w:eastAsia="Roboto Light" w:hAnsi="Arial" w:cs="Arial"/>
          <w:b/>
          <w:bCs/>
          <w:kern w:val="2"/>
          <w:sz w:val="22"/>
          <w:szCs w:val="22"/>
          <w:lang w:eastAsia="zh-CN" w:bidi="hi-IN"/>
        </w:rPr>
      </w:pPr>
      <w:r w:rsidRPr="00196A15">
        <w:rPr>
          <w:rFonts w:ascii="Arial" w:eastAsia="Roboto Light" w:hAnsi="Arial" w:cs="Arial"/>
          <w:b/>
          <w:bCs/>
          <w:kern w:val="2"/>
          <w:sz w:val="22"/>
          <w:szCs w:val="22"/>
          <w:lang w:eastAsia="zh-CN" w:bidi="hi-IN"/>
        </w:rPr>
        <w:t>Scenariul 1: Construirea parcării cu pereți de susținere având sistem de</w:t>
      </w:r>
      <w:r>
        <w:rPr>
          <w:rFonts w:ascii="Arial" w:eastAsia="Roboto Light" w:hAnsi="Arial" w:cs="Arial"/>
          <w:b/>
          <w:bCs/>
          <w:kern w:val="2"/>
          <w:sz w:val="22"/>
          <w:szCs w:val="22"/>
          <w:lang w:eastAsia="zh-CN" w:bidi="hi-IN"/>
        </w:rPr>
        <w:t xml:space="preserve"> </w:t>
      </w:r>
      <w:r w:rsidRPr="00196A15">
        <w:rPr>
          <w:rFonts w:ascii="Arial" w:eastAsia="Roboto Light" w:hAnsi="Arial" w:cs="Arial"/>
          <w:b/>
          <w:bCs/>
          <w:kern w:val="2"/>
          <w:sz w:val="22"/>
          <w:szCs w:val="22"/>
          <w:lang w:eastAsia="zh-CN" w:bidi="hi-IN"/>
        </w:rPr>
        <w:t>rezemare prin ANCORARE</w:t>
      </w:r>
    </w:p>
    <w:p w14:paraId="0F287FA0" w14:textId="77777777" w:rsidR="00B545C4" w:rsidRPr="00196A15" w:rsidRDefault="00B545C4" w:rsidP="00B545C4">
      <w:pPr>
        <w:tabs>
          <w:tab w:val="left" w:pos="9923"/>
        </w:tabs>
        <w:spacing w:line="276" w:lineRule="auto"/>
        <w:jc w:val="both"/>
        <w:rPr>
          <w:rFonts w:ascii="Arial" w:eastAsia="Roboto Light" w:hAnsi="Arial" w:cs="Arial"/>
          <w:kern w:val="2"/>
          <w:sz w:val="22"/>
          <w:szCs w:val="22"/>
          <w:lang w:eastAsia="zh-CN" w:bidi="hi-IN"/>
        </w:rPr>
      </w:pPr>
      <w:r w:rsidRPr="00196A15">
        <w:rPr>
          <w:rFonts w:ascii="Arial" w:eastAsia="Roboto Light" w:hAnsi="Arial" w:cs="Arial"/>
          <w:kern w:val="2"/>
          <w:sz w:val="22"/>
          <w:szCs w:val="22"/>
          <w:lang w:eastAsia="zh-CN" w:bidi="hi-IN"/>
        </w:rPr>
        <w:t>Ancorajele în teren reprezintă elemente structurale capabile să transmită la un strat</w:t>
      </w:r>
      <w:r>
        <w:rPr>
          <w:rFonts w:ascii="Arial" w:eastAsia="Roboto Light" w:hAnsi="Arial" w:cs="Arial"/>
          <w:kern w:val="2"/>
          <w:sz w:val="22"/>
          <w:szCs w:val="22"/>
          <w:lang w:eastAsia="zh-CN" w:bidi="hi-IN"/>
        </w:rPr>
        <w:t xml:space="preserve"> </w:t>
      </w:r>
      <w:r w:rsidRPr="00196A15">
        <w:rPr>
          <w:rFonts w:ascii="Arial" w:eastAsia="Roboto Light" w:hAnsi="Arial" w:cs="Arial"/>
          <w:kern w:val="2"/>
          <w:sz w:val="22"/>
          <w:szCs w:val="22"/>
          <w:lang w:eastAsia="zh-CN" w:bidi="hi-IN"/>
        </w:rPr>
        <w:t>portant de pământ forțele de întindere care le sunt aplicate de împingerea peretelui</w:t>
      </w:r>
      <w:r>
        <w:rPr>
          <w:rFonts w:ascii="Arial" w:eastAsia="Roboto Light" w:hAnsi="Arial" w:cs="Arial"/>
          <w:kern w:val="2"/>
          <w:sz w:val="22"/>
          <w:szCs w:val="22"/>
          <w:lang w:eastAsia="zh-CN" w:bidi="hi-IN"/>
        </w:rPr>
        <w:t xml:space="preserve"> </w:t>
      </w:r>
      <w:r w:rsidRPr="00196A15">
        <w:rPr>
          <w:rFonts w:ascii="Arial" w:eastAsia="Roboto Light" w:hAnsi="Arial" w:cs="Arial"/>
          <w:kern w:val="2"/>
          <w:sz w:val="22"/>
          <w:szCs w:val="22"/>
          <w:lang w:eastAsia="zh-CN" w:bidi="hi-IN"/>
        </w:rPr>
        <w:t>de susținere. Se recomandă ancoraje cu tiranți forați, injectați și pretensionați. În</w:t>
      </w:r>
      <w:r>
        <w:rPr>
          <w:rFonts w:ascii="Arial" w:eastAsia="Roboto Light" w:hAnsi="Arial" w:cs="Arial"/>
          <w:kern w:val="2"/>
          <w:sz w:val="22"/>
          <w:szCs w:val="22"/>
          <w:lang w:eastAsia="zh-CN" w:bidi="hi-IN"/>
        </w:rPr>
        <w:t xml:space="preserve"> </w:t>
      </w:r>
      <w:r w:rsidRPr="00196A15">
        <w:rPr>
          <w:rFonts w:ascii="Arial" w:eastAsia="Roboto Light" w:hAnsi="Arial" w:cs="Arial"/>
          <w:kern w:val="2"/>
          <w:sz w:val="22"/>
          <w:szCs w:val="22"/>
          <w:lang w:eastAsia="zh-CN" w:bidi="hi-IN"/>
        </w:rPr>
        <w:t>vederea execuției forajelor este necesară coborârea nivelului freatic sub cota săpăturii/ forajului de ancoraj.</w:t>
      </w:r>
    </w:p>
    <w:p w14:paraId="1FB4CECE" w14:textId="77777777" w:rsidR="00B545C4" w:rsidRPr="00196A15" w:rsidRDefault="00B545C4" w:rsidP="00B545C4">
      <w:pPr>
        <w:spacing w:line="276" w:lineRule="auto"/>
        <w:jc w:val="both"/>
        <w:rPr>
          <w:rFonts w:ascii="Arial" w:eastAsia="Roboto Light" w:hAnsi="Arial" w:cs="Arial"/>
          <w:kern w:val="2"/>
          <w:sz w:val="22"/>
          <w:szCs w:val="22"/>
          <w:lang w:eastAsia="zh-CN" w:bidi="hi-IN"/>
        </w:rPr>
      </w:pPr>
      <w:r w:rsidRPr="00196A15">
        <w:rPr>
          <w:rFonts w:ascii="Arial" w:eastAsia="Roboto Light" w:hAnsi="Arial" w:cs="Arial"/>
          <w:kern w:val="2"/>
          <w:sz w:val="22"/>
          <w:szCs w:val="22"/>
          <w:lang w:eastAsia="zh-CN" w:bidi="hi-IN"/>
        </w:rPr>
        <w:t>Se prevăd trei rânduri de ancoraje înclinate, dar pot fi instalați și mai multe nivele. La</w:t>
      </w:r>
      <w:r>
        <w:rPr>
          <w:rFonts w:ascii="Arial" w:eastAsia="Roboto Light" w:hAnsi="Arial" w:cs="Arial"/>
          <w:kern w:val="2"/>
          <w:sz w:val="22"/>
          <w:szCs w:val="22"/>
          <w:lang w:eastAsia="zh-CN" w:bidi="hi-IN"/>
        </w:rPr>
        <w:t xml:space="preserve"> </w:t>
      </w:r>
      <w:r w:rsidRPr="00196A15">
        <w:rPr>
          <w:rFonts w:ascii="Arial" w:eastAsia="Roboto Light" w:hAnsi="Arial" w:cs="Arial"/>
          <w:kern w:val="2"/>
          <w:sz w:val="22"/>
          <w:szCs w:val="22"/>
          <w:lang w:eastAsia="zh-CN" w:bidi="hi-IN"/>
        </w:rPr>
        <w:t>stabilirea tipului de tirant trebuie avută în vedere durata de lucru estimată pentru</w:t>
      </w:r>
      <w:r>
        <w:rPr>
          <w:rFonts w:ascii="Arial" w:eastAsia="Roboto Light" w:hAnsi="Arial" w:cs="Arial"/>
          <w:kern w:val="2"/>
          <w:sz w:val="22"/>
          <w:szCs w:val="22"/>
          <w:lang w:eastAsia="zh-CN" w:bidi="hi-IN"/>
        </w:rPr>
        <w:t xml:space="preserve"> </w:t>
      </w:r>
      <w:r w:rsidRPr="00196A15">
        <w:rPr>
          <w:rFonts w:ascii="Arial" w:eastAsia="Roboto Light" w:hAnsi="Arial" w:cs="Arial"/>
          <w:kern w:val="2"/>
          <w:sz w:val="22"/>
          <w:szCs w:val="22"/>
          <w:lang w:eastAsia="zh-CN" w:bidi="hi-IN"/>
        </w:rPr>
        <w:t>acesta. Va fi considerată adecvată aceea tehnologie care a fost găsită corespunzătoare</w:t>
      </w:r>
      <w:r>
        <w:rPr>
          <w:rFonts w:ascii="Arial" w:eastAsia="Roboto Light" w:hAnsi="Arial" w:cs="Arial"/>
          <w:kern w:val="2"/>
          <w:sz w:val="22"/>
          <w:szCs w:val="22"/>
          <w:lang w:eastAsia="zh-CN" w:bidi="hi-IN"/>
        </w:rPr>
        <w:t xml:space="preserve"> </w:t>
      </w:r>
      <w:r w:rsidRPr="00196A15">
        <w:rPr>
          <w:rFonts w:ascii="Arial" w:eastAsia="Roboto Light" w:hAnsi="Arial" w:cs="Arial"/>
          <w:kern w:val="2"/>
          <w:sz w:val="22"/>
          <w:szCs w:val="22"/>
          <w:lang w:eastAsia="zh-CN" w:bidi="hi-IN"/>
        </w:rPr>
        <w:t>în toate fazele de execuție (forare, armare, injectare), pe baza unor încercări in situ.</w:t>
      </w:r>
    </w:p>
    <w:p w14:paraId="766E78B8" w14:textId="77777777" w:rsidR="00B545C4" w:rsidRPr="00196A15" w:rsidRDefault="00B545C4" w:rsidP="00B545C4">
      <w:pPr>
        <w:spacing w:line="276" w:lineRule="auto"/>
        <w:rPr>
          <w:rFonts w:ascii="Arial" w:eastAsia="Roboto Light" w:hAnsi="Arial" w:cs="Arial"/>
          <w:kern w:val="2"/>
          <w:sz w:val="22"/>
          <w:szCs w:val="22"/>
          <w:lang w:eastAsia="zh-CN" w:bidi="hi-IN"/>
        </w:rPr>
      </w:pPr>
      <w:r w:rsidRPr="00196A15">
        <w:rPr>
          <w:rFonts w:ascii="Arial" w:eastAsia="Roboto Light" w:hAnsi="Arial" w:cs="Arial"/>
          <w:kern w:val="2"/>
          <w:sz w:val="22"/>
          <w:szCs w:val="22"/>
          <w:lang w:eastAsia="zh-CN" w:bidi="hi-IN"/>
        </w:rPr>
        <w:t>Avantajele sistemului:</w:t>
      </w:r>
    </w:p>
    <w:p w14:paraId="071A1A6A" w14:textId="77777777" w:rsidR="00B545C4" w:rsidRPr="00196A15" w:rsidRDefault="00B545C4" w:rsidP="00B545C4">
      <w:pPr>
        <w:numPr>
          <w:ilvl w:val="0"/>
          <w:numId w:val="16"/>
        </w:numPr>
        <w:spacing w:line="276" w:lineRule="auto"/>
        <w:rPr>
          <w:rFonts w:ascii="Arial" w:eastAsia="Roboto Light" w:hAnsi="Arial" w:cs="Arial"/>
          <w:kern w:val="2"/>
          <w:sz w:val="22"/>
          <w:szCs w:val="22"/>
          <w:lang w:eastAsia="zh-CN" w:bidi="hi-IN"/>
        </w:rPr>
      </w:pPr>
      <w:r w:rsidRPr="00196A15">
        <w:rPr>
          <w:rFonts w:ascii="Arial" w:eastAsia="Roboto Light" w:hAnsi="Arial" w:cs="Arial"/>
          <w:kern w:val="2"/>
          <w:sz w:val="22"/>
          <w:szCs w:val="22"/>
          <w:lang w:eastAsia="zh-CN" w:bidi="hi-IN"/>
        </w:rPr>
        <w:t>incinta excavată rămâne liberă pentru lucrări de construire</w:t>
      </w:r>
    </w:p>
    <w:p w14:paraId="0F7419D2" w14:textId="77777777" w:rsidR="00B545C4" w:rsidRPr="00196A15" w:rsidRDefault="00B545C4" w:rsidP="00B545C4">
      <w:pPr>
        <w:numPr>
          <w:ilvl w:val="0"/>
          <w:numId w:val="16"/>
        </w:numPr>
        <w:spacing w:line="276" w:lineRule="auto"/>
        <w:rPr>
          <w:rFonts w:ascii="Arial" w:eastAsia="Roboto Light" w:hAnsi="Arial" w:cs="Arial"/>
          <w:kern w:val="2"/>
          <w:sz w:val="22"/>
          <w:szCs w:val="22"/>
          <w:lang w:eastAsia="zh-CN" w:bidi="hi-IN"/>
        </w:rPr>
      </w:pPr>
      <w:r w:rsidRPr="00196A15">
        <w:rPr>
          <w:rFonts w:ascii="Arial" w:eastAsia="Roboto Light" w:hAnsi="Arial" w:cs="Arial"/>
          <w:kern w:val="2"/>
          <w:sz w:val="22"/>
          <w:szCs w:val="22"/>
          <w:lang w:eastAsia="zh-CN" w:bidi="hi-IN"/>
        </w:rPr>
        <w:t xml:space="preserve">ancorajele pretensionate pot reduce deplasările </w:t>
      </w:r>
      <w:r>
        <w:rPr>
          <w:rFonts w:ascii="Arial" w:eastAsia="Roboto Light" w:hAnsi="Arial" w:cs="Arial"/>
          <w:kern w:val="2"/>
          <w:sz w:val="22"/>
          <w:szCs w:val="22"/>
          <w:lang w:eastAsia="zh-CN" w:bidi="hi-IN"/>
        </w:rPr>
        <w:t>p</w:t>
      </w:r>
      <w:r w:rsidRPr="00196A15">
        <w:rPr>
          <w:rFonts w:ascii="Arial" w:eastAsia="Roboto Light" w:hAnsi="Arial" w:cs="Arial"/>
          <w:kern w:val="2"/>
          <w:sz w:val="22"/>
          <w:szCs w:val="22"/>
          <w:lang w:eastAsia="zh-CN" w:bidi="hi-IN"/>
        </w:rPr>
        <w:t>eretelui și tasările terenului Ancorajele se extind adesea pe distanță considerabilă (20-25 m) în afara incintei de excavații, ce are</w:t>
      </w:r>
      <w:r>
        <w:rPr>
          <w:rFonts w:ascii="Arial" w:eastAsia="Roboto Light" w:hAnsi="Arial" w:cs="Arial"/>
          <w:kern w:val="2"/>
          <w:sz w:val="22"/>
          <w:szCs w:val="22"/>
          <w:lang w:eastAsia="zh-CN" w:bidi="hi-IN"/>
        </w:rPr>
        <w:t xml:space="preserve"> </w:t>
      </w:r>
      <w:r w:rsidRPr="00196A15">
        <w:rPr>
          <w:rFonts w:ascii="Arial" w:eastAsia="Roboto Light" w:hAnsi="Arial" w:cs="Arial"/>
          <w:kern w:val="2"/>
          <w:sz w:val="22"/>
          <w:szCs w:val="22"/>
          <w:lang w:eastAsia="zh-CN" w:bidi="hi-IN"/>
        </w:rPr>
        <w:t>implicații tehnice în cazul unor rețele subterane și precum și implicații legale în cazul extinderii în afara limitei de proprietate.</w:t>
      </w:r>
    </w:p>
    <w:p w14:paraId="740F4170" w14:textId="77777777" w:rsidR="00B545C4" w:rsidRPr="00196A15" w:rsidRDefault="00B545C4" w:rsidP="00B545C4">
      <w:pPr>
        <w:spacing w:line="276" w:lineRule="auto"/>
        <w:rPr>
          <w:rFonts w:ascii="Arial" w:eastAsia="Roboto Light" w:hAnsi="Arial" w:cs="Arial"/>
          <w:kern w:val="2"/>
          <w:sz w:val="22"/>
          <w:szCs w:val="22"/>
          <w:lang w:eastAsia="zh-CN" w:bidi="hi-IN"/>
        </w:rPr>
      </w:pPr>
    </w:p>
    <w:p w14:paraId="40D13766" w14:textId="615E1861" w:rsidR="00F95B52" w:rsidRPr="00947B85" w:rsidRDefault="00F95B52" w:rsidP="004653E3">
      <w:pPr>
        <w:spacing w:line="276" w:lineRule="auto"/>
        <w:jc w:val="both"/>
        <w:rPr>
          <w:color w:val="000000"/>
        </w:rPr>
      </w:pPr>
    </w:p>
    <w:p w14:paraId="0A656828" w14:textId="5C747FB7" w:rsidR="000B2073" w:rsidRPr="00DC5105" w:rsidRDefault="003B654A" w:rsidP="002936AE">
      <w:pPr>
        <w:ind w:left="-567"/>
        <w:rPr>
          <w:b/>
          <w:sz w:val="22"/>
          <w:szCs w:val="22"/>
        </w:rPr>
      </w:pPr>
      <w:r w:rsidRPr="00DC5105">
        <w:rPr>
          <w:sz w:val="22"/>
          <w:szCs w:val="22"/>
        </w:rPr>
        <w:tab/>
      </w:r>
      <w:r w:rsidRPr="00DC5105">
        <w:rPr>
          <w:sz w:val="22"/>
          <w:szCs w:val="22"/>
        </w:rPr>
        <w:tab/>
      </w:r>
      <w:r w:rsidRPr="00DC5105">
        <w:rPr>
          <w:sz w:val="22"/>
          <w:szCs w:val="22"/>
        </w:rPr>
        <w:tab/>
      </w:r>
      <w:r w:rsidR="000B2073" w:rsidRPr="00DC5105">
        <w:rPr>
          <w:sz w:val="22"/>
          <w:szCs w:val="22"/>
        </w:rPr>
        <w:tab/>
      </w:r>
      <w:r w:rsidR="000B2073" w:rsidRPr="00DC5105">
        <w:rPr>
          <w:sz w:val="22"/>
          <w:szCs w:val="22"/>
        </w:rPr>
        <w:tab/>
      </w:r>
    </w:p>
    <w:p w14:paraId="27FD1852" w14:textId="52CC707E" w:rsidR="00DC5105" w:rsidRPr="00DC5105" w:rsidRDefault="00DC5105" w:rsidP="00DC5105">
      <w:pPr>
        <w:tabs>
          <w:tab w:val="left" w:pos="3108"/>
        </w:tabs>
        <w:rPr>
          <w:sz w:val="22"/>
          <w:szCs w:val="22"/>
        </w:rPr>
      </w:pPr>
    </w:p>
    <w:sectPr w:rsidR="00DC5105" w:rsidRPr="00DC5105" w:rsidSect="00E76A7C">
      <w:headerReference w:type="default" r:id="rId8"/>
      <w:footerReference w:type="default" r:id="rId9"/>
      <w:footnotePr>
        <w:pos w:val="beneathText"/>
      </w:footnotePr>
      <w:pgSz w:w="11905" w:h="16837"/>
      <w:pgMar w:top="284" w:right="565" w:bottom="284"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9F67B" w14:textId="77777777" w:rsidR="004E3059" w:rsidRDefault="004E3059" w:rsidP="009F70FF">
      <w:r>
        <w:separator/>
      </w:r>
    </w:p>
  </w:endnote>
  <w:endnote w:type="continuationSeparator" w:id="0">
    <w:p w14:paraId="57A03ABF" w14:textId="77777777" w:rsidR="004E3059" w:rsidRDefault="004E3059"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OpenSymbol">
    <w:altName w:val="Calibri"/>
    <w:charset w:val="01"/>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Light">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25568"/>
      <w:docPartObj>
        <w:docPartGallery w:val="Page Numbers (Bottom of Page)"/>
        <w:docPartUnique/>
      </w:docPartObj>
    </w:sdtPr>
    <w:sdtEndPr/>
    <w:sdtContent>
      <w:p w14:paraId="003A508C" w14:textId="77777777" w:rsidR="004E3059" w:rsidRDefault="004E3059">
        <w:pPr>
          <w:pStyle w:val="Footer"/>
          <w:jc w:val="right"/>
        </w:pPr>
        <w:r>
          <w:t>Pa</w:t>
        </w:r>
        <w:r w:rsidR="00F22D50">
          <w:t>gina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830B2DF" w14:textId="77777777" w:rsidR="004E3059" w:rsidRDefault="004E3059"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594D" w14:textId="77777777" w:rsidR="004E3059" w:rsidRDefault="004E3059" w:rsidP="009F70FF">
      <w:r>
        <w:separator/>
      </w:r>
    </w:p>
  </w:footnote>
  <w:footnote w:type="continuationSeparator" w:id="0">
    <w:p w14:paraId="79816A71" w14:textId="77777777" w:rsidR="004E3059" w:rsidRDefault="004E3059" w:rsidP="009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4B4C" w14:textId="77777777" w:rsidR="004E3059" w:rsidRDefault="004E3059" w:rsidP="00235C9B">
    <w:pPr>
      <w:ind w:left="2127" w:firstLine="709"/>
      <w:jc w:val="center"/>
      <w:rPr>
        <w:b/>
        <w:color w:val="000000" w:themeColor="text1"/>
        <w:sz w:val="22"/>
        <w:szCs w:val="22"/>
      </w:rPr>
    </w:pPr>
    <w:bookmarkStart w:id="0" w:name="_Hlk531165164"/>
  </w:p>
  <w:p w14:paraId="10BC4F3A" w14:textId="5DDB1BE0" w:rsidR="004E3059" w:rsidRPr="005A34B1" w:rsidRDefault="000A681C" w:rsidP="00496B94">
    <w:pPr>
      <w:ind w:left="2127" w:firstLine="709"/>
      <w:rPr>
        <w:b/>
        <w:color w:val="000000" w:themeColor="text1"/>
        <w:sz w:val="22"/>
        <w:szCs w:val="22"/>
      </w:rPr>
    </w:pPr>
    <w:r>
      <w:rPr>
        <w:b/>
        <w:color w:val="000000" w:themeColor="text1"/>
        <w:sz w:val="22"/>
        <w:szCs w:val="22"/>
      </w:rPr>
      <w:t xml:space="preserve">      </w:t>
    </w:r>
    <w:r w:rsidR="004E3059" w:rsidRPr="005A34B1">
      <w:rPr>
        <w:b/>
        <w:color w:val="000000" w:themeColor="text1"/>
        <w:sz w:val="22"/>
        <w:szCs w:val="22"/>
      </w:rPr>
      <w:t xml:space="preserve">ANEXA nr. 1, </w:t>
    </w:r>
    <w:r w:rsidR="004E3059" w:rsidRPr="005A34B1">
      <w:rPr>
        <w:b/>
        <w:sz w:val="22"/>
        <w:szCs w:val="22"/>
      </w:rPr>
      <w:t>parte integrantă din</w:t>
    </w:r>
    <w:r w:rsidR="004E3059" w:rsidRPr="005A34B1">
      <w:rPr>
        <w:b/>
        <w:color w:val="000000" w:themeColor="text1"/>
        <w:sz w:val="22"/>
        <w:szCs w:val="22"/>
      </w:rPr>
      <w:t xml:space="preserve"> </w:t>
    </w:r>
    <w:r w:rsidR="004E3059">
      <w:rPr>
        <w:b/>
        <w:color w:val="000000" w:themeColor="text1"/>
        <w:sz w:val="22"/>
        <w:szCs w:val="22"/>
      </w:rPr>
      <w:t>H</w:t>
    </w:r>
    <w:r w:rsidR="004E3059" w:rsidRPr="005A34B1">
      <w:rPr>
        <w:b/>
        <w:color w:val="000000" w:themeColor="text1"/>
        <w:sz w:val="22"/>
        <w:szCs w:val="22"/>
      </w:rPr>
      <w:t>otărârea nr.</w:t>
    </w:r>
    <w:r w:rsidR="004E3059" w:rsidRPr="005A34B1">
      <w:rPr>
        <w:b/>
        <w:bCs/>
        <w:color w:val="000000" w:themeColor="text1"/>
        <w:sz w:val="22"/>
        <w:szCs w:val="22"/>
      </w:rPr>
      <w:t xml:space="preserve"> _________</w:t>
    </w:r>
  </w:p>
  <w:bookmarkEnd w:id="0"/>
  <w:p w14:paraId="3AE5AE90" w14:textId="77777777" w:rsidR="004E3059" w:rsidRDefault="004E3059">
    <w:pPr>
      <w:pStyle w:val="Header"/>
    </w:pPr>
  </w:p>
  <w:p w14:paraId="29922FA5" w14:textId="77777777" w:rsidR="00A15845" w:rsidRDefault="00A15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1124AFA"/>
    <w:multiLevelType w:val="multilevel"/>
    <w:tmpl w:val="5F70A96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2"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4"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161731">
    <w:abstractNumId w:val="15"/>
  </w:num>
  <w:num w:numId="2" w16cid:durableId="761335810">
    <w:abstractNumId w:val="2"/>
  </w:num>
  <w:num w:numId="3" w16cid:durableId="1400130261">
    <w:abstractNumId w:val="9"/>
  </w:num>
  <w:num w:numId="4" w16cid:durableId="1742867214">
    <w:abstractNumId w:val="1"/>
  </w:num>
  <w:num w:numId="5" w16cid:durableId="1448701409">
    <w:abstractNumId w:val="7"/>
  </w:num>
  <w:num w:numId="6" w16cid:durableId="1082530421">
    <w:abstractNumId w:val="10"/>
  </w:num>
  <w:num w:numId="7" w16cid:durableId="2136370549">
    <w:abstractNumId w:val="14"/>
  </w:num>
  <w:num w:numId="8" w16cid:durableId="783812147">
    <w:abstractNumId w:val="4"/>
  </w:num>
  <w:num w:numId="9" w16cid:durableId="145824325">
    <w:abstractNumId w:val="12"/>
  </w:num>
  <w:num w:numId="10" w16cid:durableId="1945841345">
    <w:abstractNumId w:val="3"/>
  </w:num>
  <w:num w:numId="11" w16cid:durableId="614139286">
    <w:abstractNumId w:val="13"/>
  </w:num>
  <w:num w:numId="12" w16cid:durableId="18437151">
    <w:abstractNumId w:val="0"/>
  </w:num>
  <w:num w:numId="13" w16cid:durableId="1666467932">
    <w:abstractNumId w:val="11"/>
  </w:num>
  <w:num w:numId="14" w16cid:durableId="1786273420">
    <w:abstractNumId w:val="5"/>
  </w:num>
  <w:num w:numId="15" w16cid:durableId="783841838">
    <w:abstractNumId w:val="8"/>
  </w:num>
  <w:num w:numId="16" w16cid:durableId="195620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96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3AB5"/>
    <w:rsid w:val="00005119"/>
    <w:rsid w:val="000211EA"/>
    <w:rsid w:val="0002632D"/>
    <w:rsid w:val="00043554"/>
    <w:rsid w:val="00047397"/>
    <w:rsid w:val="00052BB9"/>
    <w:rsid w:val="00053886"/>
    <w:rsid w:val="00053DE8"/>
    <w:rsid w:val="00056DC4"/>
    <w:rsid w:val="00063A5B"/>
    <w:rsid w:val="00070FA7"/>
    <w:rsid w:val="00072312"/>
    <w:rsid w:val="00074262"/>
    <w:rsid w:val="000748D3"/>
    <w:rsid w:val="00082AA5"/>
    <w:rsid w:val="00082F45"/>
    <w:rsid w:val="00083DF7"/>
    <w:rsid w:val="000841E2"/>
    <w:rsid w:val="000843B9"/>
    <w:rsid w:val="00087328"/>
    <w:rsid w:val="00087F3B"/>
    <w:rsid w:val="00090D0B"/>
    <w:rsid w:val="0009255E"/>
    <w:rsid w:val="000A5E09"/>
    <w:rsid w:val="000A681C"/>
    <w:rsid w:val="000A793F"/>
    <w:rsid w:val="000B0A7F"/>
    <w:rsid w:val="000B2073"/>
    <w:rsid w:val="000B2867"/>
    <w:rsid w:val="000B562B"/>
    <w:rsid w:val="000B6289"/>
    <w:rsid w:val="000B64DB"/>
    <w:rsid w:val="000C06EC"/>
    <w:rsid w:val="000C10A3"/>
    <w:rsid w:val="000C4629"/>
    <w:rsid w:val="000C593A"/>
    <w:rsid w:val="000D047D"/>
    <w:rsid w:val="000D6AE9"/>
    <w:rsid w:val="000D734B"/>
    <w:rsid w:val="000E09B2"/>
    <w:rsid w:val="000E1223"/>
    <w:rsid w:val="000F133F"/>
    <w:rsid w:val="00104FAE"/>
    <w:rsid w:val="001114B2"/>
    <w:rsid w:val="001114FE"/>
    <w:rsid w:val="00111A1A"/>
    <w:rsid w:val="001129AC"/>
    <w:rsid w:val="00116075"/>
    <w:rsid w:val="00117408"/>
    <w:rsid w:val="001231F0"/>
    <w:rsid w:val="00132539"/>
    <w:rsid w:val="001346BA"/>
    <w:rsid w:val="00136ADB"/>
    <w:rsid w:val="001464AD"/>
    <w:rsid w:val="00154FD9"/>
    <w:rsid w:val="0016237E"/>
    <w:rsid w:val="00162AA0"/>
    <w:rsid w:val="001729EE"/>
    <w:rsid w:val="00197A25"/>
    <w:rsid w:val="00197A99"/>
    <w:rsid w:val="001A3E77"/>
    <w:rsid w:val="001A667D"/>
    <w:rsid w:val="001A7218"/>
    <w:rsid w:val="001B1DB2"/>
    <w:rsid w:val="001B2C42"/>
    <w:rsid w:val="001B6DB5"/>
    <w:rsid w:val="001C16EC"/>
    <w:rsid w:val="001C27CC"/>
    <w:rsid w:val="001C2B4A"/>
    <w:rsid w:val="001C599B"/>
    <w:rsid w:val="001D0917"/>
    <w:rsid w:val="001D1256"/>
    <w:rsid w:val="001D2E59"/>
    <w:rsid w:val="001D7F50"/>
    <w:rsid w:val="001E1AF5"/>
    <w:rsid w:val="001E5A46"/>
    <w:rsid w:val="00204A35"/>
    <w:rsid w:val="002070C6"/>
    <w:rsid w:val="00211625"/>
    <w:rsid w:val="00216E45"/>
    <w:rsid w:val="00220D70"/>
    <w:rsid w:val="00221181"/>
    <w:rsid w:val="00221F62"/>
    <w:rsid w:val="00225329"/>
    <w:rsid w:val="002304FB"/>
    <w:rsid w:val="00234067"/>
    <w:rsid w:val="00235C9B"/>
    <w:rsid w:val="00240EC9"/>
    <w:rsid w:val="00242D19"/>
    <w:rsid w:val="002432DE"/>
    <w:rsid w:val="00244A81"/>
    <w:rsid w:val="00247095"/>
    <w:rsid w:val="00250BF7"/>
    <w:rsid w:val="00252093"/>
    <w:rsid w:val="002531F5"/>
    <w:rsid w:val="002556C9"/>
    <w:rsid w:val="00257FEE"/>
    <w:rsid w:val="0026089F"/>
    <w:rsid w:val="00260EFA"/>
    <w:rsid w:val="00262CC2"/>
    <w:rsid w:val="002644CF"/>
    <w:rsid w:val="0026526A"/>
    <w:rsid w:val="00265B42"/>
    <w:rsid w:val="00272AA8"/>
    <w:rsid w:val="00275628"/>
    <w:rsid w:val="00277F6E"/>
    <w:rsid w:val="00280A3D"/>
    <w:rsid w:val="00281262"/>
    <w:rsid w:val="00281F7E"/>
    <w:rsid w:val="002873EF"/>
    <w:rsid w:val="002936AE"/>
    <w:rsid w:val="00294A5F"/>
    <w:rsid w:val="002A0D4C"/>
    <w:rsid w:val="002A38B9"/>
    <w:rsid w:val="002A6189"/>
    <w:rsid w:val="002B1FF6"/>
    <w:rsid w:val="002B3699"/>
    <w:rsid w:val="002B5133"/>
    <w:rsid w:val="002C61F9"/>
    <w:rsid w:val="002D0218"/>
    <w:rsid w:val="002D1E6F"/>
    <w:rsid w:val="002D269C"/>
    <w:rsid w:val="002D5BAA"/>
    <w:rsid w:val="002D66E0"/>
    <w:rsid w:val="002E62FE"/>
    <w:rsid w:val="002E7029"/>
    <w:rsid w:val="002F1BBB"/>
    <w:rsid w:val="002F3BD1"/>
    <w:rsid w:val="00307D7B"/>
    <w:rsid w:val="00311D87"/>
    <w:rsid w:val="00312585"/>
    <w:rsid w:val="00314073"/>
    <w:rsid w:val="003141AA"/>
    <w:rsid w:val="00314D59"/>
    <w:rsid w:val="00321B59"/>
    <w:rsid w:val="00322E85"/>
    <w:rsid w:val="00322FF1"/>
    <w:rsid w:val="00325675"/>
    <w:rsid w:val="00327121"/>
    <w:rsid w:val="003271EE"/>
    <w:rsid w:val="003321D3"/>
    <w:rsid w:val="00333FF7"/>
    <w:rsid w:val="00334146"/>
    <w:rsid w:val="00337347"/>
    <w:rsid w:val="00342F91"/>
    <w:rsid w:val="003432BC"/>
    <w:rsid w:val="003465B4"/>
    <w:rsid w:val="00351609"/>
    <w:rsid w:val="00353F8F"/>
    <w:rsid w:val="00361042"/>
    <w:rsid w:val="00363FCE"/>
    <w:rsid w:val="003653CF"/>
    <w:rsid w:val="0036691D"/>
    <w:rsid w:val="00367113"/>
    <w:rsid w:val="00375713"/>
    <w:rsid w:val="0037675D"/>
    <w:rsid w:val="00377EC4"/>
    <w:rsid w:val="00382262"/>
    <w:rsid w:val="00383447"/>
    <w:rsid w:val="003859AF"/>
    <w:rsid w:val="003901B9"/>
    <w:rsid w:val="00391B9F"/>
    <w:rsid w:val="00396F5D"/>
    <w:rsid w:val="003A4A32"/>
    <w:rsid w:val="003B61AC"/>
    <w:rsid w:val="003B654A"/>
    <w:rsid w:val="003C1CBF"/>
    <w:rsid w:val="003C28D5"/>
    <w:rsid w:val="003C3882"/>
    <w:rsid w:val="003C79A0"/>
    <w:rsid w:val="003D158A"/>
    <w:rsid w:val="003D24A9"/>
    <w:rsid w:val="003D3F58"/>
    <w:rsid w:val="003D4405"/>
    <w:rsid w:val="003E1268"/>
    <w:rsid w:val="003E3263"/>
    <w:rsid w:val="003E5466"/>
    <w:rsid w:val="003F0B2C"/>
    <w:rsid w:val="003F3476"/>
    <w:rsid w:val="003F4ABC"/>
    <w:rsid w:val="0040170C"/>
    <w:rsid w:val="00404F74"/>
    <w:rsid w:val="00410A92"/>
    <w:rsid w:val="0041169F"/>
    <w:rsid w:val="004200A2"/>
    <w:rsid w:val="00421A7B"/>
    <w:rsid w:val="00423B65"/>
    <w:rsid w:val="00424573"/>
    <w:rsid w:val="00425AC7"/>
    <w:rsid w:val="004322B3"/>
    <w:rsid w:val="00433211"/>
    <w:rsid w:val="0043353F"/>
    <w:rsid w:val="00440845"/>
    <w:rsid w:val="00441453"/>
    <w:rsid w:val="00441D6C"/>
    <w:rsid w:val="00441FC0"/>
    <w:rsid w:val="004448E6"/>
    <w:rsid w:val="00454652"/>
    <w:rsid w:val="004547E4"/>
    <w:rsid w:val="0045721C"/>
    <w:rsid w:val="00457399"/>
    <w:rsid w:val="004605AF"/>
    <w:rsid w:val="004653E3"/>
    <w:rsid w:val="0047025D"/>
    <w:rsid w:val="0047334F"/>
    <w:rsid w:val="004738F7"/>
    <w:rsid w:val="00474027"/>
    <w:rsid w:val="0047486B"/>
    <w:rsid w:val="004766B4"/>
    <w:rsid w:val="004812BC"/>
    <w:rsid w:val="00486A7B"/>
    <w:rsid w:val="00486F07"/>
    <w:rsid w:val="00493EC9"/>
    <w:rsid w:val="00496B94"/>
    <w:rsid w:val="004A5901"/>
    <w:rsid w:val="004A5F66"/>
    <w:rsid w:val="004A7452"/>
    <w:rsid w:val="004B09B6"/>
    <w:rsid w:val="004B1020"/>
    <w:rsid w:val="004B3ADE"/>
    <w:rsid w:val="004B6343"/>
    <w:rsid w:val="004C08F2"/>
    <w:rsid w:val="004C5498"/>
    <w:rsid w:val="004C71B4"/>
    <w:rsid w:val="004D2DD8"/>
    <w:rsid w:val="004D3381"/>
    <w:rsid w:val="004D5BF6"/>
    <w:rsid w:val="004D6160"/>
    <w:rsid w:val="004D6F76"/>
    <w:rsid w:val="004E3059"/>
    <w:rsid w:val="004E52D3"/>
    <w:rsid w:val="004E75FD"/>
    <w:rsid w:val="004F16AC"/>
    <w:rsid w:val="004F2264"/>
    <w:rsid w:val="004F236E"/>
    <w:rsid w:val="004F26E2"/>
    <w:rsid w:val="004F657A"/>
    <w:rsid w:val="005035F9"/>
    <w:rsid w:val="005066D2"/>
    <w:rsid w:val="00507F3C"/>
    <w:rsid w:val="005104BE"/>
    <w:rsid w:val="0051615A"/>
    <w:rsid w:val="00522CC7"/>
    <w:rsid w:val="00523839"/>
    <w:rsid w:val="00525625"/>
    <w:rsid w:val="00530CAE"/>
    <w:rsid w:val="00533343"/>
    <w:rsid w:val="005354AC"/>
    <w:rsid w:val="005413E8"/>
    <w:rsid w:val="00542E27"/>
    <w:rsid w:val="00551DF6"/>
    <w:rsid w:val="00553362"/>
    <w:rsid w:val="005566E6"/>
    <w:rsid w:val="00561A7B"/>
    <w:rsid w:val="00562AAB"/>
    <w:rsid w:val="00573D05"/>
    <w:rsid w:val="00580907"/>
    <w:rsid w:val="005866A9"/>
    <w:rsid w:val="00593E00"/>
    <w:rsid w:val="00597EE2"/>
    <w:rsid w:val="005A0B8E"/>
    <w:rsid w:val="005A2C9E"/>
    <w:rsid w:val="005A5EB8"/>
    <w:rsid w:val="005B4FA7"/>
    <w:rsid w:val="005B6284"/>
    <w:rsid w:val="005B69B5"/>
    <w:rsid w:val="005C2D27"/>
    <w:rsid w:val="005C3207"/>
    <w:rsid w:val="005C5928"/>
    <w:rsid w:val="005C65D4"/>
    <w:rsid w:val="005C65FD"/>
    <w:rsid w:val="005D26B7"/>
    <w:rsid w:val="005E5595"/>
    <w:rsid w:val="005E604D"/>
    <w:rsid w:val="005E6A04"/>
    <w:rsid w:val="005E7889"/>
    <w:rsid w:val="005F1A2F"/>
    <w:rsid w:val="005F3702"/>
    <w:rsid w:val="005F50FD"/>
    <w:rsid w:val="00605654"/>
    <w:rsid w:val="00611AAD"/>
    <w:rsid w:val="00612D35"/>
    <w:rsid w:val="006218E2"/>
    <w:rsid w:val="006304E3"/>
    <w:rsid w:val="006332F3"/>
    <w:rsid w:val="00636DD0"/>
    <w:rsid w:val="00637A88"/>
    <w:rsid w:val="00642F40"/>
    <w:rsid w:val="00656F2A"/>
    <w:rsid w:val="006675E2"/>
    <w:rsid w:val="00667EEC"/>
    <w:rsid w:val="00667FFE"/>
    <w:rsid w:val="00670D39"/>
    <w:rsid w:val="00672C10"/>
    <w:rsid w:val="006746E8"/>
    <w:rsid w:val="00684755"/>
    <w:rsid w:val="00684BA8"/>
    <w:rsid w:val="00686595"/>
    <w:rsid w:val="006951FB"/>
    <w:rsid w:val="00695BA4"/>
    <w:rsid w:val="00697705"/>
    <w:rsid w:val="006A3BBD"/>
    <w:rsid w:val="006A6231"/>
    <w:rsid w:val="006A6A9C"/>
    <w:rsid w:val="006A6D1A"/>
    <w:rsid w:val="006A771B"/>
    <w:rsid w:val="006C54FA"/>
    <w:rsid w:val="006D2337"/>
    <w:rsid w:val="006E1B2B"/>
    <w:rsid w:val="006E2949"/>
    <w:rsid w:val="006E4053"/>
    <w:rsid w:val="006E7E48"/>
    <w:rsid w:val="006F0E93"/>
    <w:rsid w:val="006F14DA"/>
    <w:rsid w:val="00700882"/>
    <w:rsid w:val="00703D90"/>
    <w:rsid w:val="007127E3"/>
    <w:rsid w:val="00712EC8"/>
    <w:rsid w:val="0072268D"/>
    <w:rsid w:val="00722CB9"/>
    <w:rsid w:val="00730D96"/>
    <w:rsid w:val="0073100B"/>
    <w:rsid w:val="007312CC"/>
    <w:rsid w:val="00745E9B"/>
    <w:rsid w:val="00751638"/>
    <w:rsid w:val="00751A74"/>
    <w:rsid w:val="007578C1"/>
    <w:rsid w:val="00765EBD"/>
    <w:rsid w:val="00765F22"/>
    <w:rsid w:val="00770DFF"/>
    <w:rsid w:val="00771F62"/>
    <w:rsid w:val="0078358C"/>
    <w:rsid w:val="007875D1"/>
    <w:rsid w:val="00787864"/>
    <w:rsid w:val="0079040C"/>
    <w:rsid w:val="00790740"/>
    <w:rsid w:val="0079686A"/>
    <w:rsid w:val="007B03B5"/>
    <w:rsid w:val="007B267D"/>
    <w:rsid w:val="007B6FAE"/>
    <w:rsid w:val="007B7994"/>
    <w:rsid w:val="007C697A"/>
    <w:rsid w:val="007D16D9"/>
    <w:rsid w:val="007D2053"/>
    <w:rsid w:val="007F593C"/>
    <w:rsid w:val="008016E1"/>
    <w:rsid w:val="0080514C"/>
    <w:rsid w:val="00823209"/>
    <w:rsid w:val="00824AAD"/>
    <w:rsid w:val="00826623"/>
    <w:rsid w:val="00832F60"/>
    <w:rsid w:val="00835807"/>
    <w:rsid w:val="00843C8B"/>
    <w:rsid w:val="00845216"/>
    <w:rsid w:val="00851454"/>
    <w:rsid w:val="008569B1"/>
    <w:rsid w:val="00860A68"/>
    <w:rsid w:val="00862A8A"/>
    <w:rsid w:val="00864106"/>
    <w:rsid w:val="008714D9"/>
    <w:rsid w:val="00873A35"/>
    <w:rsid w:val="00873D28"/>
    <w:rsid w:val="0088049D"/>
    <w:rsid w:val="00883987"/>
    <w:rsid w:val="008849BE"/>
    <w:rsid w:val="00886F4E"/>
    <w:rsid w:val="00890406"/>
    <w:rsid w:val="00893B91"/>
    <w:rsid w:val="00897DC0"/>
    <w:rsid w:val="008A195D"/>
    <w:rsid w:val="008A2342"/>
    <w:rsid w:val="008A4BCA"/>
    <w:rsid w:val="008A6560"/>
    <w:rsid w:val="008A757D"/>
    <w:rsid w:val="008A7B05"/>
    <w:rsid w:val="008B08D5"/>
    <w:rsid w:val="008B0E88"/>
    <w:rsid w:val="008B2DBF"/>
    <w:rsid w:val="008B31D9"/>
    <w:rsid w:val="008C4308"/>
    <w:rsid w:val="008C4B7B"/>
    <w:rsid w:val="008C5E20"/>
    <w:rsid w:val="008D72AC"/>
    <w:rsid w:val="008D7BAD"/>
    <w:rsid w:val="008E12FA"/>
    <w:rsid w:val="008E1F78"/>
    <w:rsid w:val="008F3A44"/>
    <w:rsid w:val="008F3D9C"/>
    <w:rsid w:val="008F7548"/>
    <w:rsid w:val="008F7F6F"/>
    <w:rsid w:val="009020F5"/>
    <w:rsid w:val="00904A27"/>
    <w:rsid w:val="00911C49"/>
    <w:rsid w:val="00924763"/>
    <w:rsid w:val="00927665"/>
    <w:rsid w:val="009326D4"/>
    <w:rsid w:val="00934A46"/>
    <w:rsid w:val="0093523F"/>
    <w:rsid w:val="00935A84"/>
    <w:rsid w:val="00942318"/>
    <w:rsid w:val="0095651F"/>
    <w:rsid w:val="00964A09"/>
    <w:rsid w:val="00964BE7"/>
    <w:rsid w:val="009730CA"/>
    <w:rsid w:val="00975053"/>
    <w:rsid w:val="00975E28"/>
    <w:rsid w:val="00980397"/>
    <w:rsid w:val="00986594"/>
    <w:rsid w:val="009869C2"/>
    <w:rsid w:val="00987191"/>
    <w:rsid w:val="00990643"/>
    <w:rsid w:val="00994722"/>
    <w:rsid w:val="009971EB"/>
    <w:rsid w:val="009974D9"/>
    <w:rsid w:val="009A1E9A"/>
    <w:rsid w:val="009A64CD"/>
    <w:rsid w:val="009C0D41"/>
    <w:rsid w:val="009C1624"/>
    <w:rsid w:val="009C4B98"/>
    <w:rsid w:val="009C691E"/>
    <w:rsid w:val="009C6BBD"/>
    <w:rsid w:val="009D4F00"/>
    <w:rsid w:val="009D54F2"/>
    <w:rsid w:val="009E34BB"/>
    <w:rsid w:val="009E79B1"/>
    <w:rsid w:val="009F21D1"/>
    <w:rsid w:val="009F60B9"/>
    <w:rsid w:val="009F6BB0"/>
    <w:rsid w:val="009F70FF"/>
    <w:rsid w:val="00A00CF6"/>
    <w:rsid w:val="00A059D5"/>
    <w:rsid w:val="00A1044A"/>
    <w:rsid w:val="00A11DC4"/>
    <w:rsid w:val="00A138CB"/>
    <w:rsid w:val="00A15845"/>
    <w:rsid w:val="00A26BA6"/>
    <w:rsid w:val="00A27650"/>
    <w:rsid w:val="00A3545A"/>
    <w:rsid w:val="00A420DE"/>
    <w:rsid w:val="00A44334"/>
    <w:rsid w:val="00A46F92"/>
    <w:rsid w:val="00A63CCF"/>
    <w:rsid w:val="00A6475B"/>
    <w:rsid w:val="00A65C27"/>
    <w:rsid w:val="00A66C06"/>
    <w:rsid w:val="00A67BD9"/>
    <w:rsid w:val="00A746BC"/>
    <w:rsid w:val="00A759B4"/>
    <w:rsid w:val="00A76B71"/>
    <w:rsid w:val="00A80B62"/>
    <w:rsid w:val="00A85D22"/>
    <w:rsid w:val="00A87ACD"/>
    <w:rsid w:val="00A922D2"/>
    <w:rsid w:val="00A96D6B"/>
    <w:rsid w:val="00AA307A"/>
    <w:rsid w:val="00AA3759"/>
    <w:rsid w:val="00AA3D1B"/>
    <w:rsid w:val="00AA42B3"/>
    <w:rsid w:val="00AA5009"/>
    <w:rsid w:val="00AA70AC"/>
    <w:rsid w:val="00AB2AB5"/>
    <w:rsid w:val="00AB5C9A"/>
    <w:rsid w:val="00AC1928"/>
    <w:rsid w:val="00AC1DD4"/>
    <w:rsid w:val="00AC4DCF"/>
    <w:rsid w:val="00AD4443"/>
    <w:rsid w:val="00AD4FAF"/>
    <w:rsid w:val="00AD6B20"/>
    <w:rsid w:val="00AD7037"/>
    <w:rsid w:val="00AE0170"/>
    <w:rsid w:val="00AE150A"/>
    <w:rsid w:val="00AE1CF7"/>
    <w:rsid w:val="00AE48A5"/>
    <w:rsid w:val="00AE49D4"/>
    <w:rsid w:val="00AE7DD7"/>
    <w:rsid w:val="00AF243C"/>
    <w:rsid w:val="00AF34B9"/>
    <w:rsid w:val="00AF7548"/>
    <w:rsid w:val="00B0318A"/>
    <w:rsid w:val="00B118CC"/>
    <w:rsid w:val="00B126D0"/>
    <w:rsid w:val="00B23977"/>
    <w:rsid w:val="00B26F2B"/>
    <w:rsid w:val="00B30E92"/>
    <w:rsid w:val="00B328BF"/>
    <w:rsid w:val="00B34374"/>
    <w:rsid w:val="00B35B71"/>
    <w:rsid w:val="00B36AE2"/>
    <w:rsid w:val="00B4052F"/>
    <w:rsid w:val="00B52538"/>
    <w:rsid w:val="00B52992"/>
    <w:rsid w:val="00B53BCA"/>
    <w:rsid w:val="00B545C4"/>
    <w:rsid w:val="00B54D0B"/>
    <w:rsid w:val="00B566E4"/>
    <w:rsid w:val="00B6619C"/>
    <w:rsid w:val="00B70340"/>
    <w:rsid w:val="00B73707"/>
    <w:rsid w:val="00B74B48"/>
    <w:rsid w:val="00B74FE8"/>
    <w:rsid w:val="00B8481A"/>
    <w:rsid w:val="00B84878"/>
    <w:rsid w:val="00B8689D"/>
    <w:rsid w:val="00B95322"/>
    <w:rsid w:val="00BA6821"/>
    <w:rsid w:val="00BA6A78"/>
    <w:rsid w:val="00BB6FA3"/>
    <w:rsid w:val="00BB74C0"/>
    <w:rsid w:val="00BC044B"/>
    <w:rsid w:val="00BC15D7"/>
    <w:rsid w:val="00BC42B3"/>
    <w:rsid w:val="00BD02C5"/>
    <w:rsid w:val="00BD0741"/>
    <w:rsid w:val="00BD2908"/>
    <w:rsid w:val="00BD5BA1"/>
    <w:rsid w:val="00BE084F"/>
    <w:rsid w:val="00BE5D9E"/>
    <w:rsid w:val="00BF0D72"/>
    <w:rsid w:val="00BF57F2"/>
    <w:rsid w:val="00BF71A6"/>
    <w:rsid w:val="00C03FE0"/>
    <w:rsid w:val="00C0581E"/>
    <w:rsid w:val="00C05E22"/>
    <w:rsid w:val="00C06D18"/>
    <w:rsid w:val="00C07326"/>
    <w:rsid w:val="00C10350"/>
    <w:rsid w:val="00C1189E"/>
    <w:rsid w:val="00C4371A"/>
    <w:rsid w:val="00C51BCF"/>
    <w:rsid w:val="00C5306B"/>
    <w:rsid w:val="00C541F2"/>
    <w:rsid w:val="00C54F99"/>
    <w:rsid w:val="00C571DB"/>
    <w:rsid w:val="00C71B48"/>
    <w:rsid w:val="00C76197"/>
    <w:rsid w:val="00C771AA"/>
    <w:rsid w:val="00C8229A"/>
    <w:rsid w:val="00C85DF1"/>
    <w:rsid w:val="00C92BF2"/>
    <w:rsid w:val="00CA6CA5"/>
    <w:rsid w:val="00CA6E9B"/>
    <w:rsid w:val="00CB2E97"/>
    <w:rsid w:val="00CB6747"/>
    <w:rsid w:val="00CC20AA"/>
    <w:rsid w:val="00CC20E5"/>
    <w:rsid w:val="00CC245A"/>
    <w:rsid w:val="00CC641B"/>
    <w:rsid w:val="00CC7188"/>
    <w:rsid w:val="00CD0902"/>
    <w:rsid w:val="00CE4C98"/>
    <w:rsid w:val="00CE609C"/>
    <w:rsid w:val="00CE6153"/>
    <w:rsid w:val="00CE6DFC"/>
    <w:rsid w:val="00CF3801"/>
    <w:rsid w:val="00D0299A"/>
    <w:rsid w:val="00D0354F"/>
    <w:rsid w:val="00D11D50"/>
    <w:rsid w:val="00D15214"/>
    <w:rsid w:val="00D206EB"/>
    <w:rsid w:val="00D21B09"/>
    <w:rsid w:val="00D21B0D"/>
    <w:rsid w:val="00D35A9A"/>
    <w:rsid w:val="00D378E3"/>
    <w:rsid w:val="00D514DE"/>
    <w:rsid w:val="00D523FD"/>
    <w:rsid w:val="00D53F56"/>
    <w:rsid w:val="00D648D8"/>
    <w:rsid w:val="00D65BFD"/>
    <w:rsid w:val="00D718BB"/>
    <w:rsid w:val="00D74A10"/>
    <w:rsid w:val="00D81810"/>
    <w:rsid w:val="00D87E58"/>
    <w:rsid w:val="00D87FFD"/>
    <w:rsid w:val="00D92F5A"/>
    <w:rsid w:val="00D94E02"/>
    <w:rsid w:val="00D974B9"/>
    <w:rsid w:val="00DA4D43"/>
    <w:rsid w:val="00DA570D"/>
    <w:rsid w:val="00DB0E11"/>
    <w:rsid w:val="00DB133A"/>
    <w:rsid w:val="00DC2B7C"/>
    <w:rsid w:val="00DC2F36"/>
    <w:rsid w:val="00DC5105"/>
    <w:rsid w:val="00DC537B"/>
    <w:rsid w:val="00DD4FF4"/>
    <w:rsid w:val="00DD5FF7"/>
    <w:rsid w:val="00DD73E2"/>
    <w:rsid w:val="00E00F00"/>
    <w:rsid w:val="00E01A29"/>
    <w:rsid w:val="00E0485A"/>
    <w:rsid w:val="00E058C2"/>
    <w:rsid w:val="00E0735A"/>
    <w:rsid w:val="00E108A2"/>
    <w:rsid w:val="00E12AC5"/>
    <w:rsid w:val="00E17872"/>
    <w:rsid w:val="00E316D9"/>
    <w:rsid w:val="00E34147"/>
    <w:rsid w:val="00E34272"/>
    <w:rsid w:val="00E41D14"/>
    <w:rsid w:val="00E4641C"/>
    <w:rsid w:val="00E54ABC"/>
    <w:rsid w:val="00E616AF"/>
    <w:rsid w:val="00E70338"/>
    <w:rsid w:val="00E7549D"/>
    <w:rsid w:val="00E762AE"/>
    <w:rsid w:val="00E76A7C"/>
    <w:rsid w:val="00E80A43"/>
    <w:rsid w:val="00E82522"/>
    <w:rsid w:val="00E83374"/>
    <w:rsid w:val="00E83C26"/>
    <w:rsid w:val="00E975AF"/>
    <w:rsid w:val="00EA4254"/>
    <w:rsid w:val="00EA5153"/>
    <w:rsid w:val="00EB0409"/>
    <w:rsid w:val="00EB6551"/>
    <w:rsid w:val="00EB7BE6"/>
    <w:rsid w:val="00ED1C54"/>
    <w:rsid w:val="00ED391F"/>
    <w:rsid w:val="00ED5CC7"/>
    <w:rsid w:val="00ED6874"/>
    <w:rsid w:val="00EE104C"/>
    <w:rsid w:val="00EE3342"/>
    <w:rsid w:val="00EF0839"/>
    <w:rsid w:val="00EF33DB"/>
    <w:rsid w:val="00EF4E68"/>
    <w:rsid w:val="00EF5FEA"/>
    <w:rsid w:val="00EF60AD"/>
    <w:rsid w:val="00EF66CC"/>
    <w:rsid w:val="00F1352B"/>
    <w:rsid w:val="00F140EB"/>
    <w:rsid w:val="00F22D50"/>
    <w:rsid w:val="00F26B82"/>
    <w:rsid w:val="00F37EF6"/>
    <w:rsid w:val="00F401DA"/>
    <w:rsid w:val="00F43177"/>
    <w:rsid w:val="00F44DB9"/>
    <w:rsid w:val="00F50AC5"/>
    <w:rsid w:val="00F56F34"/>
    <w:rsid w:val="00F603EF"/>
    <w:rsid w:val="00F6376D"/>
    <w:rsid w:val="00F66D58"/>
    <w:rsid w:val="00F73FAC"/>
    <w:rsid w:val="00F74AF1"/>
    <w:rsid w:val="00F76F78"/>
    <w:rsid w:val="00F800DA"/>
    <w:rsid w:val="00F81279"/>
    <w:rsid w:val="00F846F4"/>
    <w:rsid w:val="00F84E1B"/>
    <w:rsid w:val="00F87A23"/>
    <w:rsid w:val="00F90DF9"/>
    <w:rsid w:val="00F917F3"/>
    <w:rsid w:val="00F94B13"/>
    <w:rsid w:val="00F95B52"/>
    <w:rsid w:val="00F97B9A"/>
    <w:rsid w:val="00FB065F"/>
    <w:rsid w:val="00FB0CC6"/>
    <w:rsid w:val="00FB3990"/>
    <w:rsid w:val="00FB6C23"/>
    <w:rsid w:val="00FC0014"/>
    <w:rsid w:val="00FC0225"/>
    <w:rsid w:val="00FC32B9"/>
    <w:rsid w:val="00FC4AA8"/>
    <w:rsid w:val="00FD0B61"/>
    <w:rsid w:val="00FD10F4"/>
    <w:rsid w:val="00FD5D66"/>
    <w:rsid w:val="00FE1E17"/>
    <w:rsid w:val="00FE2C64"/>
    <w:rsid w:val="00FF540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1230077"/>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 w:type="paragraph" w:styleId="FootnoteText">
    <w:name w:val="footnote text"/>
    <w:basedOn w:val="Normal"/>
    <w:link w:val="FootnoteTextChar"/>
    <w:semiHidden/>
    <w:rsid w:val="00F95B52"/>
    <w:pPr>
      <w:tabs>
        <w:tab w:val="left" w:pos="-720"/>
      </w:tabs>
      <w:jc w:val="both"/>
    </w:pPr>
    <w:rPr>
      <w:rFonts w:eastAsia="Times New Roman"/>
      <w:spacing w:val="-2"/>
      <w:sz w:val="20"/>
      <w:lang w:val="en-GB" w:eastAsia="en-US"/>
    </w:rPr>
  </w:style>
  <w:style w:type="character" w:customStyle="1" w:styleId="FootnoteTextChar">
    <w:name w:val="Footnote Text Char"/>
    <w:basedOn w:val="DefaultParagraphFont"/>
    <w:link w:val="FootnoteText"/>
    <w:semiHidden/>
    <w:rsid w:val="00F95B52"/>
    <w:rPr>
      <w:spacing w:val="-2"/>
      <w:lang w:val="en-GB" w:eastAsia="en-US"/>
    </w:rPr>
  </w:style>
  <w:style w:type="paragraph" w:customStyle="1" w:styleId="PMUDCorpsimplu">
    <w:name w:val="PMUD Corp simplu"/>
    <w:basedOn w:val="Normal"/>
    <w:link w:val="PMUDCorpsimpluCaracter"/>
    <w:autoRedefine/>
    <w:qFormat/>
    <w:rsid w:val="00F95B52"/>
    <w:pPr>
      <w:widowControl/>
      <w:tabs>
        <w:tab w:val="left" w:pos="4050"/>
      </w:tabs>
      <w:suppressAutoHyphens w:val="0"/>
      <w:spacing w:before="60" w:after="60" w:line="276" w:lineRule="auto"/>
      <w:ind w:right="17"/>
      <w:jc w:val="both"/>
    </w:pPr>
    <w:rPr>
      <w:rFonts w:eastAsia="Times New Roman"/>
      <w:noProof/>
      <w:szCs w:val="24"/>
      <w:lang w:eastAsia="en-GB"/>
    </w:rPr>
  </w:style>
  <w:style w:type="character" w:customStyle="1" w:styleId="PMUDCorpsimpluCaracter">
    <w:name w:val="PMUD Corp simplu Caracter"/>
    <w:link w:val="PMUDCorpsimplu"/>
    <w:rsid w:val="00F95B52"/>
    <w:rPr>
      <w:noProof/>
      <w:sz w:val="24"/>
      <w:szCs w:val="24"/>
      <w:lang w:eastAsia="en-GB"/>
    </w:rPr>
  </w:style>
  <w:style w:type="character" w:styleId="IntenseEmphasis">
    <w:name w:val="Intense Emphasis"/>
    <w:uiPriority w:val="99"/>
    <w:qFormat/>
    <w:rsid w:val="00F95B52"/>
    <w:rPr>
      <w:b/>
      <w:bCs/>
      <w:i/>
      <w:iCs/>
      <w:color w:val="4F81BD"/>
    </w:rPr>
  </w:style>
  <w:style w:type="paragraph" w:customStyle="1" w:styleId="MIRCEAChar">
    <w:name w:val="MIRCEA Char"/>
    <w:basedOn w:val="CommentText"/>
    <w:rsid w:val="00F95B52"/>
    <w:pPr>
      <w:widowControl/>
      <w:suppressAutoHyphens w:val="0"/>
      <w:spacing w:line="360" w:lineRule="auto"/>
    </w:pPr>
    <w:rPr>
      <w:rFonts w:ascii="Arial Narrow" w:eastAsia="Times New Roman" w:hAnsi="Arial Narrow"/>
      <w:sz w:val="24"/>
      <w:lang w:val="de-AT" w:eastAsia="zh-CN"/>
    </w:rPr>
  </w:style>
  <w:style w:type="paragraph" w:styleId="CommentText">
    <w:name w:val="annotation text"/>
    <w:basedOn w:val="Normal"/>
    <w:link w:val="CommentTextChar"/>
    <w:uiPriority w:val="99"/>
    <w:semiHidden/>
    <w:unhideWhenUsed/>
    <w:rsid w:val="00F95B52"/>
    <w:rPr>
      <w:sz w:val="20"/>
    </w:rPr>
  </w:style>
  <w:style w:type="character" w:customStyle="1" w:styleId="CommentTextChar">
    <w:name w:val="Comment Text Char"/>
    <w:basedOn w:val="DefaultParagraphFont"/>
    <w:link w:val="CommentText"/>
    <w:uiPriority w:val="99"/>
    <w:semiHidden/>
    <w:rsid w:val="00F95B52"/>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9B2-D92F-4899-862E-1552FE0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4</cp:revision>
  <cp:lastPrinted>2022-11-07T07:51:00Z</cp:lastPrinted>
  <dcterms:created xsi:type="dcterms:W3CDTF">2022-11-07T07:52:00Z</dcterms:created>
  <dcterms:modified xsi:type="dcterms:W3CDTF">2022-11-15T07:17:00Z</dcterms:modified>
</cp:coreProperties>
</file>