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B" w:rsidRPr="00093EB6" w:rsidRDefault="00347CD7">
      <w:pPr>
        <w:jc w:val="right"/>
        <w:rPr>
          <w:sz w:val="24"/>
          <w:szCs w:val="24"/>
        </w:rPr>
      </w:pPr>
      <w:r w:rsidRPr="00093EB6">
        <w:rPr>
          <w:sz w:val="24"/>
          <w:szCs w:val="24"/>
        </w:rPr>
        <w:tab/>
      </w:r>
    </w:p>
    <w:p w:rsidR="00C57E8F" w:rsidRPr="00093EB6" w:rsidRDefault="00C57E8F">
      <w:pPr>
        <w:jc w:val="right"/>
        <w:rPr>
          <w:sz w:val="24"/>
          <w:szCs w:val="24"/>
        </w:rPr>
      </w:pPr>
    </w:p>
    <w:p w:rsidR="00EF5F8B" w:rsidRPr="0091288A" w:rsidRDefault="00EF5F8B">
      <w:pPr>
        <w:jc w:val="right"/>
        <w:rPr>
          <w:sz w:val="24"/>
          <w:szCs w:val="24"/>
          <w:lang w:val="de-DE"/>
        </w:rPr>
      </w:pPr>
      <w:r w:rsidRPr="0091288A">
        <w:rPr>
          <w:sz w:val="24"/>
          <w:szCs w:val="24"/>
        </w:rPr>
        <w:t xml:space="preserve">Nr. </w:t>
      </w:r>
      <w:r w:rsidRPr="0091288A">
        <w:rPr>
          <w:sz w:val="24"/>
          <w:szCs w:val="24"/>
          <w:lang w:val="de-DE"/>
        </w:rPr>
        <w:t>înregistrare:</w:t>
      </w:r>
      <w:r w:rsidR="007C30A9" w:rsidRPr="0091288A">
        <w:rPr>
          <w:sz w:val="24"/>
          <w:szCs w:val="24"/>
          <w:lang w:val="de-DE"/>
        </w:rPr>
        <w:t xml:space="preserve"> </w:t>
      </w:r>
      <w:r w:rsidR="006B3C94">
        <w:rPr>
          <w:sz w:val="24"/>
          <w:szCs w:val="24"/>
          <w:lang w:val="de-DE"/>
        </w:rPr>
        <w:t>204598</w:t>
      </w:r>
      <w:r w:rsidR="001A770A" w:rsidRPr="0091288A">
        <w:rPr>
          <w:sz w:val="24"/>
          <w:szCs w:val="24"/>
          <w:lang w:val="de-DE"/>
        </w:rPr>
        <w:t>/VIII/1/</w:t>
      </w:r>
      <w:r w:rsidR="006B3C94">
        <w:rPr>
          <w:sz w:val="24"/>
          <w:szCs w:val="24"/>
          <w:lang w:val="de-DE"/>
        </w:rPr>
        <w:t>29.03.2013</w:t>
      </w:r>
    </w:p>
    <w:p w:rsidR="00210BE8" w:rsidRPr="00093EB6" w:rsidRDefault="00210BE8">
      <w:pPr>
        <w:jc w:val="right"/>
        <w:rPr>
          <w:sz w:val="24"/>
          <w:szCs w:val="24"/>
          <w:lang w:val="de-DE"/>
        </w:rPr>
      </w:pPr>
    </w:p>
    <w:p w:rsidR="00210BE8" w:rsidRPr="00093EB6" w:rsidRDefault="00210BE8">
      <w:pPr>
        <w:jc w:val="right"/>
        <w:rPr>
          <w:sz w:val="24"/>
          <w:szCs w:val="24"/>
          <w:lang w:val="de-DE"/>
        </w:rPr>
      </w:pPr>
    </w:p>
    <w:p w:rsidR="00210BE8" w:rsidRPr="00093EB6" w:rsidRDefault="00210BE8">
      <w:pPr>
        <w:jc w:val="right"/>
        <w:rPr>
          <w:sz w:val="24"/>
          <w:szCs w:val="24"/>
          <w:lang w:val="de-DE"/>
        </w:rPr>
      </w:pPr>
    </w:p>
    <w:p w:rsidR="00210BE8" w:rsidRPr="00093EB6" w:rsidRDefault="00210BE8">
      <w:pPr>
        <w:jc w:val="right"/>
        <w:rPr>
          <w:sz w:val="24"/>
          <w:szCs w:val="24"/>
          <w:lang w:val="de-DE"/>
        </w:rPr>
      </w:pPr>
    </w:p>
    <w:p w:rsidR="00210BE8" w:rsidRPr="00093EB6" w:rsidRDefault="00210BE8">
      <w:pPr>
        <w:jc w:val="right"/>
        <w:rPr>
          <w:sz w:val="24"/>
          <w:szCs w:val="24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1101"/>
        <w:gridCol w:w="4252"/>
        <w:gridCol w:w="4785"/>
      </w:tblGrid>
      <w:tr w:rsidR="00EF5F8B" w:rsidRPr="00093EB6">
        <w:tblPrEx>
          <w:tblCellMar>
            <w:top w:w="0" w:type="dxa"/>
            <w:bottom w:w="0" w:type="dxa"/>
          </w:tblCellMar>
        </w:tblPrEx>
        <w:trPr>
          <w:gridAfter w:val="1"/>
          <w:wAfter w:w="4785" w:type="dxa"/>
        </w:trPr>
        <w:tc>
          <w:tcPr>
            <w:tcW w:w="1101" w:type="dxa"/>
          </w:tcPr>
          <w:p w:rsidR="00EF5F8B" w:rsidRPr="00093EB6" w:rsidRDefault="00EF5F8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093EB6">
              <w:rPr>
                <w:sz w:val="24"/>
                <w:szCs w:val="24"/>
                <w:lang w:val="fr-FR"/>
              </w:rPr>
              <w:t>Către:</w:t>
            </w:r>
          </w:p>
        </w:tc>
        <w:tc>
          <w:tcPr>
            <w:tcW w:w="4252" w:type="dxa"/>
          </w:tcPr>
          <w:p w:rsidR="007C252B" w:rsidRPr="00093EB6" w:rsidRDefault="007C252B" w:rsidP="007C252B">
            <w:pPr>
              <w:rPr>
                <w:b/>
                <w:sz w:val="24"/>
                <w:szCs w:val="24"/>
                <w:lang w:val="en-US"/>
              </w:rPr>
            </w:pPr>
            <w:r w:rsidRPr="00093EB6">
              <w:rPr>
                <w:b/>
                <w:sz w:val="24"/>
                <w:szCs w:val="24"/>
                <w:lang w:val="en-US"/>
              </w:rPr>
              <w:t>CONSILIUL DE ADMINISTRAŢIE</w:t>
            </w:r>
          </w:p>
          <w:p w:rsidR="007C252B" w:rsidRPr="00093EB6" w:rsidRDefault="007C252B" w:rsidP="007C252B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093EB6">
              <w:rPr>
                <w:b/>
                <w:sz w:val="24"/>
                <w:szCs w:val="24"/>
                <w:lang w:val="en-US"/>
              </w:rPr>
              <w:t xml:space="preserve">                            al</w:t>
            </w:r>
          </w:p>
          <w:p w:rsidR="00EF5F8B" w:rsidRPr="00093EB6" w:rsidRDefault="007C252B" w:rsidP="007C252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093EB6">
              <w:rPr>
                <w:b/>
                <w:sz w:val="24"/>
                <w:szCs w:val="24"/>
                <w:lang w:val="en-US"/>
              </w:rPr>
              <w:t>SC  Compania Aquaserv SA</w:t>
            </w:r>
          </w:p>
        </w:tc>
      </w:tr>
      <w:tr w:rsidR="00EF5F8B" w:rsidRPr="00093EB6">
        <w:tblPrEx>
          <w:tblCellMar>
            <w:top w:w="0" w:type="dxa"/>
            <w:bottom w:w="0" w:type="dxa"/>
          </w:tblCellMar>
        </w:tblPrEx>
        <w:trPr>
          <w:gridAfter w:val="1"/>
          <w:wAfter w:w="4785" w:type="dxa"/>
        </w:trPr>
        <w:tc>
          <w:tcPr>
            <w:tcW w:w="1101" w:type="dxa"/>
          </w:tcPr>
          <w:p w:rsidR="00EF5F8B" w:rsidRPr="00093EB6" w:rsidRDefault="00EF5F8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</w:tcPr>
          <w:p w:rsidR="00EF5F8B" w:rsidRPr="00093EB6" w:rsidRDefault="00EF5F8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</w:p>
        </w:tc>
      </w:tr>
      <w:tr w:rsidR="00EF5F8B" w:rsidRPr="00093EB6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F5F8B" w:rsidRPr="00093EB6" w:rsidRDefault="00EF5F8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093EB6">
              <w:rPr>
                <w:sz w:val="24"/>
                <w:szCs w:val="24"/>
                <w:lang w:val="fr-FR"/>
              </w:rPr>
              <w:t>De la:</w:t>
            </w:r>
            <w:r w:rsidRPr="00093EB6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9037" w:type="dxa"/>
            <w:gridSpan w:val="2"/>
          </w:tcPr>
          <w:p w:rsidR="00EF5F8B" w:rsidRPr="00093EB6" w:rsidRDefault="001A770A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093EB6">
              <w:rPr>
                <w:sz w:val="24"/>
                <w:szCs w:val="24"/>
                <w:lang w:val="fr-FR"/>
              </w:rPr>
              <w:t>Manager</w:t>
            </w:r>
            <w:r w:rsidR="00093EB6">
              <w:rPr>
                <w:sz w:val="24"/>
                <w:szCs w:val="24"/>
                <w:lang w:val="fr-FR"/>
              </w:rPr>
              <w:t xml:space="preserve"> finanţ</w:t>
            </w:r>
            <w:r w:rsidR="007C252B" w:rsidRPr="00093EB6">
              <w:rPr>
                <w:sz w:val="24"/>
                <w:szCs w:val="24"/>
                <w:lang w:val="fr-FR"/>
              </w:rPr>
              <w:t>e</w:t>
            </w:r>
          </w:p>
        </w:tc>
      </w:tr>
      <w:tr w:rsidR="00EF5F8B" w:rsidRPr="00093EB6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F5F8B" w:rsidRPr="00093EB6" w:rsidRDefault="00EF5F8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093EB6">
              <w:rPr>
                <w:sz w:val="24"/>
                <w:szCs w:val="24"/>
                <w:lang w:val="fr-FR"/>
              </w:rPr>
              <w:t>Ref.:</w:t>
            </w:r>
          </w:p>
        </w:tc>
        <w:tc>
          <w:tcPr>
            <w:tcW w:w="9037" w:type="dxa"/>
            <w:gridSpan w:val="2"/>
          </w:tcPr>
          <w:p w:rsidR="00EF5F8B" w:rsidRPr="00093EB6" w:rsidRDefault="00CD35CC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254495">
              <w:rPr>
                <w:sz w:val="24"/>
                <w:szCs w:val="24"/>
                <w:lang w:val="en-US"/>
              </w:rPr>
              <w:t xml:space="preserve">Numirea Auditorului financiar si stabilirea duratei minime </w:t>
            </w:r>
            <w:r w:rsidRPr="00254495">
              <w:rPr>
                <w:iCs/>
                <w:sz w:val="24"/>
                <w:szCs w:val="24"/>
                <w:lang w:val="en-US"/>
              </w:rPr>
              <w:t>a contractului de audit financiar</w:t>
            </w:r>
            <w:r w:rsidRPr="00A71417">
              <w:rPr>
                <w:sz w:val="24"/>
                <w:szCs w:val="24"/>
                <w:lang w:val="en-US"/>
              </w:rPr>
              <w:t>.</w:t>
            </w:r>
          </w:p>
        </w:tc>
      </w:tr>
      <w:tr w:rsidR="00EF5F8B" w:rsidRPr="00093EB6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F5F8B" w:rsidRPr="00093EB6" w:rsidRDefault="00EF5F8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093EB6">
              <w:rPr>
                <w:sz w:val="24"/>
                <w:szCs w:val="24"/>
                <w:lang w:val="fr-FR"/>
              </w:rPr>
              <w:t>Nr. pag.:</w:t>
            </w:r>
          </w:p>
        </w:tc>
        <w:tc>
          <w:tcPr>
            <w:tcW w:w="9037" w:type="dxa"/>
            <w:gridSpan w:val="2"/>
          </w:tcPr>
          <w:p w:rsidR="00EF5F8B" w:rsidRPr="00093EB6" w:rsidRDefault="00EF5F8B">
            <w:pPr>
              <w:spacing w:line="320" w:lineRule="exact"/>
              <w:jc w:val="left"/>
              <w:rPr>
                <w:sz w:val="24"/>
                <w:szCs w:val="24"/>
                <w:lang w:val="fr-FR"/>
              </w:rPr>
            </w:pPr>
            <w:r w:rsidRPr="00093EB6">
              <w:rPr>
                <w:sz w:val="24"/>
                <w:szCs w:val="24"/>
                <w:lang w:val="fr-FR"/>
              </w:rPr>
              <w:t>1</w:t>
            </w:r>
          </w:p>
        </w:tc>
      </w:tr>
    </w:tbl>
    <w:p w:rsidR="007C252B" w:rsidRPr="00093EB6" w:rsidRDefault="007C252B" w:rsidP="007C252B">
      <w:pPr>
        <w:rPr>
          <w:sz w:val="24"/>
          <w:szCs w:val="24"/>
          <w:lang w:val="en-US"/>
        </w:rPr>
      </w:pPr>
    </w:p>
    <w:p w:rsidR="007C252B" w:rsidRPr="00093EB6" w:rsidRDefault="007C252B" w:rsidP="007C252B">
      <w:pPr>
        <w:rPr>
          <w:sz w:val="24"/>
          <w:szCs w:val="24"/>
          <w:lang w:val="en-US"/>
        </w:rPr>
      </w:pPr>
    </w:p>
    <w:p w:rsidR="00CD35CC" w:rsidRPr="00A5250A" w:rsidRDefault="003147BF" w:rsidP="00BF5350">
      <w:pPr>
        <w:ind w:firstLine="720"/>
        <w:rPr>
          <w:sz w:val="24"/>
          <w:lang w:val="en-US"/>
        </w:rPr>
      </w:pPr>
      <w:r w:rsidRPr="003147BF">
        <w:rPr>
          <w:sz w:val="24"/>
          <w:lang w:val="en-US"/>
        </w:rPr>
        <w:t xml:space="preserve">Pentru co-finantarea cu fonduri proprii a </w:t>
      </w:r>
      <w:r w:rsidRPr="003147BF">
        <w:rPr>
          <w:sz w:val="24"/>
          <w:szCs w:val="24"/>
        </w:rPr>
        <w:t>POS –Mediu si refinantarea creditului MELF aferent ISPA</w:t>
      </w:r>
      <w:r w:rsidRPr="003147BF">
        <w:rPr>
          <w:sz w:val="24"/>
          <w:lang w:val="en-US"/>
        </w:rPr>
        <w:t>,</w:t>
      </w:r>
      <w:r w:rsidR="00CD35CC" w:rsidRPr="003147BF">
        <w:rPr>
          <w:sz w:val="24"/>
          <w:lang w:val="en-US"/>
        </w:rPr>
        <w:t>SC Compania Aquaserv SA</w:t>
      </w:r>
      <w:r w:rsidRPr="003147BF">
        <w:rPr>
          <w:sz w:val="24"/>
          <w:lang w:val="en-US"/>
        </w:rPr>
        <w:t xml:space="preserve"> </w:t>
      </w:r>
      <w:r w:rsidR="00CD35CC" w:rsidRPr="003147BF">
        <w:rPr>
          <w:sz w:val="24"/>
          <w:lang w:val="en-US"/>
        </w:rPr>
        <w:t>are încheiat un Contract de Imprumut cu BERD</w:t>
      </w:r>
      <w:r w:rsidRPr="003147BF">
        <w:rPr>
          <w:sz w:val="24"/>
          <w:lang w:val="en-US"/>
        </w:rPr>
        <w:t>.</w:t>
      </w:r>
      <w:r w:rsidR="00CD35CC" w:rsidRPr="003147BF">
        <w:rPr>
          <w:sz w:val="24"/>
          <w:lang w:val="en-US"/>
        </w:rPr>
        <w:t xml:space="preserve"> Prin acest contrac</w:t>
      </w:r>
      <w:r w:rsidR="00A5250A" w:rsidRPr="003147BF">
        <w:rPr>
          <w:sz w:val="24"/>
          <w:lang w:val="en-US"/>
        </w:rPr>
        <w:t>t de împrumut, la secţiunea 5.04 lit.b</w:t>
      </w:r>
      <w:r w:rsidR="00CD35CC" w:rsidRPr="003147BF">
        <w:rPr>
          <w:sz w:val="24"/>
          <w:lang w:val="en-US"/>
        </w:rPr>
        <w:t>) este prevăzută obligaţia de a angaja, în calitate de auditor, o firmă independentă, acceptată de BERD. Prin urmare pentru contractarea serviciului de audit financiar s-a</w:t>
      </w:r>
      <w:r w:rsidR="00CD35CC" w:rsidRPr="00A5250A">
        <w:rPr>
          <w:sz w:val="24"/>
          <w:lang w:val="en-US"/>
        </w:rPr>
        <w:t xml:space="preserve"> ţinut şi se v-a ţine seama de aceste angajamente asumate.</w:t>
      </w:r>
    </w:p>
    <w:p w:rsidR="00CD35CC" w:rsidRPr="00A5250A" w:rsidRDefault="00CD35CC" w:rsidP="00CD35CC">
      <w:pPr>
        <w:rPr>
          <w:sz w:val="24"/>
        </w:rPr>
      </w:pPr>
      <w:r w:rsidRPr="00A5250A">
        <w:rPr>
          <w:color w:val="FF0000"/>
          <w:sz w:val="24"/>
          <w:lang w:val="en-US"/>
        </w:rPr>
        <w:tab/>
      </w:r>
      <w:r w:rsidRPr="00A5250A">
        <w:rPr>
          <w:sz w:val="24"/>
          <w:lang w:val="en-US"/>
        </w:rPr>
        <w:t>Contractul de achiziţie a serviciului  de audit financiar încheiat cu firma SC BDO Audit SRL Bucureşti expiră o dată cu auditarea situţiilor financiare aferente anului 201</w:t>
      </w:r>
      <w:r w:rsidR="00A5250A" w:rsidRPr="00A5250A">
        <w:rPr>
          <w:sz w:val="24"/>
          <w:lang w:val="en-US"/>
        </w:rPr>
        <w:t>2</w:t>
      </w:r>
      <w:r w:rsidRPr="00A5250A">
        <w:rPr>
          <w:sz w:val="24"/>
          <w:lang w:val="en-US"/>
        </w:rPr>
        <w:t>.</w:t>
      </w:r>
    </w:p>
    <w:p w:rsidR="00CD35CC" w:rsidRPr="00905757" w:rsidRDefault="00CD35CC" w:rsidP="00CD35CC">
      <w:pPr>
        <w:rPr>
          <w:sz w:val="24"/>
          <w:lang w:val="en-US"/>
        </w:rPr>
      </w:pPr>
      <w:r w:rsidRPr="00A5250A">
        <w:rPr>
          <w:color w:val="FF0000"/>
          <w:sz w:val="24"/>
          <w:lang w:val="en-US"/>
        </w:rPr>
        <w:tab/>
      </w:r>
      <w:r w:rsidRPr="00905757">
        <w:rPr>
          <w:sz w:val="24"/>
          <w:lang w:val="en-US"/>
        </w:rPr>
        <w:t>Legea nr.31/1990 privind societăţile comerciale modificată prin Legea nr. 441/2006, la art 111, prevede printre atribuţiile adunării generale ordinare şi aceea de a numi şi fixa durata minimă a contractului de audit  precum şi revocarea auditorului.</w:t>
      </w:r>
    </w:p>
    <w:p w:rsidR="00CD35CC" w:rsidRPr="00905757" w:rsidRDefault="00CD35CC" w:rsidP="00CD35CC">
      <w:pPr>
        <w:ind w:firstLine="720"/>
        <w:rPr>
          <w:sz w:val="24"/>
          <w:lang w:val="en-US"/>
        </w:rPr>
      </w:pPr>
      <w:r w:rsidRPr="00905757">
        <w:rPr>
          <w:sz w:val="24"/>
          <w:lang w:val="en-US"/>
        </w:rPr>
        <w:t>Având în vedere că achiziţia acestui serviciu trebuie realizată cu respectarea legislaţiei privind achiziţiile publice şi angajamentele asumate faţă de BERD, propunem  numirea pentru exerciţiul financiar 201</w:t>
      </w:r>
      <w:r w:rsidR="00905757" w:rsidRPr="00905757">
        <w:rPr>
          <w:sz w:val="24"/>
          <w:lang w:val="en-US"/>
        </w:rPr>
        <w:t>3</w:t>
      </w:r>
      <w:r w:rsidRPr="00905757">
        <w:rPr>
          <w:sz w:val="24"/>
          <w:lang w:val="en-US"/>
        </w:rPr>
        <w:t>, în calitate de auditor financiar, a firmei care va fi adjudecată în urma aplicării procedurii de achiziţie directa.</w:t>
      </w:r>
    </w:p>
    <w:p w:rsidR="00590134" w:rsidRPr="00905757" w:rsidRDefault="00590134" w:rsidP="00590134">
      <w:pPr>
        <w:autoSpaceDE w:val="0"/>
        <w:autoSpaceDN w:val="0"/>
        <w:adjustRightInd w:val="0"/>
        <w:jc w:val="left"/>
        <w:rPr>
          <w:szCs w:val="28"/>
          <w:lang w:val="en-US"/>
        </w:rPr>
      </w:pPr>
    </w:p>
    <w:p w:rsidR="007C252B" w:rsidRPr="00093EB6" w:rsidRDefault="007C252B" w:rsidP="007C252B">
      <w:pPr>
        <w:rPr>
          <w:sz w:val="24"/>
          <w:szCs w:val="24"/>
          <w:lang w:val="en-US"/>
        </w:rPr>
      </w:pPr>
    </w:p>
    <w:p w:rsidR="007C252B" w:rsidRPr="00093EB6" w:rsidRDefault="007C252B" w:rsidP="007C252B">
      <w:pPr>
        <w:rPr>
          <w:sz w:val="24"/>
          <w:szCs w:val="24"/>
        </w:rPr>
      </w:pPr>
    </w:p>
    <w:p w:rsidR="007C252B" w:rsidRPr="00093EB6" w:rsidRDefault="007C252B" w:rsidP="007C252B">
      <w:pPr>
        <w:rPr>
          <w:sz w:val="24"/>
          <w:szCs w:val="24"/>
          <w:lang w:val="en-US"/>
        </w:rPr>
      </w:pPr>
    </w:p>
    <w:p w:rsidR="00A5250A" w:rsidRPr="00DD54D2" w:rsidRDefault="00A5250A" w:rsidP="00A5250A">
      <w:pPr>
        <w:pStyle w:val="Header"/>
        <w:tabs>
          <w:tab w:val="clear" w:pos="4153"/>
          <w:tab w:val="clear" w:pos="8306"/>
        </w:tabs>
        <w:rPr>
          <w:sz w:val="24"/>
        </w:rPr>
      </w:pPr>
      <w:r w:rsidRPr="00DD54D2">
        <w:rPr>
          <w:sz w:val="24"/>
        </w:rPr>
        <w:t>DIRECTOR GENERAL</w:t>
      </w:r>
      <w:r w:rsidRPr="00DD54D2">
        <w:rPr>
          <w:sz w:val="24"/>
        </w:rPr>
        <w:tab/>
      </w:r>
      <w:r w:rsidRPr="00DD54D2">
        <w:rPr>
          <w:sz w:val="24"/>
        </w:rPr>
        <w:tab/>
      </w:r>
      <w:r w:rsidRPr="00DD54D2">
        <w:rPr>
          <w:sz w:val="24"/>
        </w:rPr>
        <w:tab/>
      </w:r>
      <w:r w:rsidRPr="00DD54D2">
        <w:rPr>
          <w:sz w:val="24"/>
        </w:rPr>
        <w:tab/>
      </w:r>
      <w:r w:rsidRPr="00DD54D2">
        <w:rPr>
          <w:sz w:val="24"/>
        </w:rPr>
        <w:tab/>
        <w:t>MANAGER FINANŢE</w:t>
      </w:r>
    </w:p>
    <w:p w:rsidR="00A5250A" w:rsidRPr="00DD54D2" w:rsidRDefault="00A5250A" w:rsidP="00A5250A">
      <w:pPr>
        <w:pStyle w:val="Header"/>
        <w:tabs>
          <w:tab w:val="clear" w:pos="4153"/>
          <w:tab w:val="clear" w:pos="8306"/>
        </w:tabs>
        <w:rPr>
          <w:sz w:val="24"/>
        </w:rPr>
      </w:pPr>
      <w:r w:rsidRPr="00DD54D2">
        <w:rPr>
          <w:sz w:val="24"/>
        </w:rPr>
        <w:t>ing. Horobet Sergiu</w:t>
      </w:r>
      <w:r w:rsidRPr="00DD54D2">
        <w:rPr>
          <w:sz w:val="24"/>
        </w:rPr>
        <w:tab/>
      </w:r>
      <w:r w:rsidRPr="00DD54D2">
        <w:rPr>
          <w:sz w:val="24"/>
        </w:rPr>
        <w:tab/>
      </w:r>
      <w:r w:rsidRPr="00DD54D2">
        <w:rPr>
          <w:sz w:val="24"/>
        </w:rPr>
        <w:tab/>
      </w:r>
      <w:r w:rsidRPr="00DD54D2">
        <w:rPr>
          <w:sz w:val="24"/>
        </w:rPr>
        <w:tab/>
      </w:r>
      <w:r w:rsidRPr="00DD54D2">
        <w:rPr>
          <w:sz w:val="24"/>
        </w:rPr>
        <w:tab/>
        <w:t xml:space="preserve">     </w:t>
      </w:r>
      <w:r>
        <w:rPr>
          <w:sz w:val="24"/>
        </w:rPr>
        <w:t xml:space="preserve">      </w:t>
      </w:r>
      <w:r w:rsidRPr="00DD54D2">
        <w:rPr>
          <w:sz w:val="24"/>
        </w:rPr>
        <w:t xml:space="preserve"> ec. </w:t>
      </w:r>
      <w:r>
        <w:rPr>
          <w:sz w:val="24"/>
        </w:rPr>
        <w:t>Sirb Claudia Cristina</w:t>
      </w:r>
    </w:p>
    <w:p w:rsidR="00A5250A" w:rsidRPr="00093EB6" w:rsidRDefault="00A5250A" w:rsidP="00A5250A">
      <w:pPr>
        <w:ind w:left="2160" w:firstLine="720"/>
        <w:rPr>
          <w:sz w:val="24"/>
          <w:szCs w:val="24"/>
        </w:rPr>
      </w:pPr>
      <w:r w:rsidRPr="00093EB6">
        <w:rPr>
          <w:sz w:val="24"/>
          <w:szCs w:val="24"/>
        </w:rPr>
        <w:tab/>
      </w:r>
      <w:r w:rsidRPr="00093EB6">
        <w:rPr>
          <w:sz w:val="24"/>
          <w:szCs w:val="24"/>
        </w:rPr>
        <w:tab/>
      </w:r>
      <w:r w:rsidRPr="00093EB6">
        <w:rPr>
          <w:sz w:val="24"/>
          <w:szCs w:val="24"/>
        </w:rPr>
        <w:tab/>
      </w:r>
      <w:r w:rsidRPr="00093EB6">
        <w:rPr>
          <w:sz w:val="24"/>
          <w:szCs w:val="24"/>
        </w:rPr>
        <w:tab/>
      </w:r>
    </w:p>
    <w:p w:rsidR="007C252B" w:rsidRPr="00093EB6" w:rsidRDefault="007C252B" w:rsidP="007C252B">
      <w:pPr>
        <w:rPr>
          <w:sz w:val="24"/>
          <w:szCs w:val="24"/>
        </w:rPr>
      </w:pPr>
    </w:p>
    <w:p w:rsidR="007C252B" w:rsidRPr="00093EB6" w:rsidRDefault="007C252B" w:rsidP="007C252B">
      <w:pPr>
        <w:rPr>
          <w:sz w:val="24"/>
          <w:szCs w:val="24"/>
        </w:rPr>
      </w:pPr>
    </w:p>
    <w:p w:rsidR="007C252B" w:rsidRPr="00093EB6" w:rsidRDefault="007C252B" w:rsidP="007C252B">
      <w:pPr>
        <w:tabs>
          <w:tab w:val="left" w:pos="1425"/>
        </w:tabs>
        <w:rPr>
          <w:sz w:val="24"/>
          <w:szCs w:val="24"/>
        </w:rPr>
      </w:pPr>
    </w:p>
    <w:p w:rsidR="00EF5F8B" w:rsidRPr="00093EB6" w:rsidRDefault="00EF5F8B">
      <w:pPr>
        <w:pStyle w:val="Heading3"/>
        <w:spacing w:line="360" w:lineRule="auto"/>
        <w:rPr>
          <w:rFonts w:ascii="Times New Roman" w:hAnsi="Times New Roman"/>
          <w:sz w:val="24"/>
          <w:szCs w:val="24"/>
        </w:rPr>
      </w:pPr>
    </w:p>
    <w:sectPr w:rsidR="00EF5F8B" w:rsidRPr="00093EB6" w:rsidSect="008555C1">
      <w:headerReference w:type="first" r:id="rId7"/>
      <w:footerReference w:type="first" r:id="rId8"/>
      <w:pgSz w:w="11907" w:h="16840" w:code="9"/>
      <w:pgMar w:top="1021" w:right="709" w:bottom="900" w:left="1134" w:header="567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6B" w:rsidRDefault="0004246B">
      <w:r>
        <w:separator/>
      </w:r>
    </w:p>
  </w:endnote>
  <w:endnote w:type="continuationSeparator" w:id="0">
    <w:p w:rsidR="0004246B" w:rsidRDefault="0004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B" w:rsidRDefault="00EF5F8B">
    <w:pPr>
      <w:pStyle w:val="Footer"/>
    </w:pPr>
    <w:r>
      <w:rPr>
        <w:noProof/>
      </w:rPr>
      <w:pict>
        <v:line id="_x0000_s2050" style="position:absolute;left:0;text-align:left;z-index:251656704" from="1.25pt,18.35pt" to="498.85pt,18.35pt" o:allowincell="f" strokeweight=".5pt"/>
      </w:pict>
    </w:r>
    <w:r w:rsidR="009C1FFB">
      <w:rPr>
        <w:noProof/>
        <w:lang w:val="en-US"/>
      </w:rPr>
      <w:drawing>
        <wp:inline distT="0" distB="0" distL="0" distR="0">
          <wp:extent cx="266700" cy="219075"/>
          <wp:effectExtent l="19050" t="0" r="0" b="0"/>
          <wp:docPr id="2" name="Picture 2" descr="sigla gray pt antet ba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ray pt antet ba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F8B" w:rsidRDefault="00EF5F8B">
    <w:pPr>
      <w:pStyle w:val="Footer"/>
    </w:pPr>
    <w:r>
      <w:rPr>
        <w:rFonts w:ascii="Courier New" w:hAnsi="Courier New"/>
        <w:sz w:val="16"/>
      </w:rPr>
      <w:t>Operator de date cu caracter personal nr.8366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6B" w:rsidRDefault="0004246B">
      <w:r>
        <w:separator/>
      </w:r>
    </w:p>
  </w:footnote>
  <w:footnote w:type="continuationSeparator" w:id="0">
    <w:p w:rsidR="0004246B" w:rsidRDefault="00042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B" w:rsidRDefault="00245B17">
    <w:pPr>
      <w:pStyle w:val="Header"/>
    </w:pP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7.35pt;margin-top:-10.15pt;width:108pt;height:117pt;z-index:251659776" filled="f" stroked="f">
          <v:textbox style="mso-next-textbox:#_x0000_s2053">
            <w:txbxContent>
              <w:p w:rsidR="00347CD7" w:rsidRDefault="00347CD7" w:rsidP="00347CD7">
                <w:pPr>
                  <w:rPr>
                    <w:rFonts w:ascii="Courier New" w:hAnsi="Courier New"/>
                    <w:b/>
                    <w:lang w:val="en-US"/>
                  </w:rPr>
                </w:pPr>
              </w:p>
              <w:p w:rsidR="00347CD7" w:rsidRDefault="009C1FFB" w:rsidP="00347CD7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466725" cy="457200"/>
                      <wp:effectExtent l="19050" t="0" r="9525" b="0"/>
                      <wp:docPr id="3" name="Picture 3" descr="Marca srac 9001 0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rca srac 9001 0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45B17">
                  <w:t xml:space="preserve">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466725" cy="457200"/>
                      <wp:effectExtent l="19050" t="0" r="9525" b="0"/>
                      <wp:docPr id="4" name="Picture 4" descr="Marca srac 14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Marca srac 14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45B17" w:rsidRDefault="00245B17" w:rsidP="00347CD7"/>
              <w:p w:rsidR="00245B17" w:rsidRPr="00245B17" w:rsidRDefault="009C1FFB" w:rsidP="00347CD7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466725" cy="457200"/>
                      <wp:effectExtent l="19050" t="0" r="9525" b="0"/>
                      <wp:docPr id="5" name="Picture 5" descr="Marca srac ohsas 18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Marca srac ohsas 18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45B17">
                  <w:t xml:space="preserve">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447675" cy="457200"/>
                      <wp:effectExtent l="19050" t="0" r="9525" b="0"/>
                      <wp:docPr id="6" name="Picture 6" descr="marca_IQN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marca_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1FFB">
      <w:rPr>
        <w:noProof/>
        <w:lang w:val="en-US"/>
      </w:rPr>
      <w:drawing>
        <wp:inline distT="0" distB="0" distL="0" distR="0">
          <wp:extent cx="1638300" cy="132397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7CD7">
      <w:rPr>
        <w:noProof/>
        <w:lang w:eastAsia="ro-RO"/>
      </w:rPr>
      <w:pict>
        <v:shape id="_x0000_s2052" type="#_x0000_t202" style="position:absolute;left:0;text-align:left;margin-left:145.35pt;margin-top:-1.15pt;width:247.8pt;height:110.6pt;z-index:251658752;mso-position-horizontal-relative:text;mso-position-vertical-relative:text" filled="f" stroked="f">
          <v:textbox style="mso-next-textbox:#_x0000_s2052">
            <w:txbxContent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b/>
                    <w:lang w:val="en-US"/>
                  </w:rPr>
                </w:pPr>
                <w:r>
                  <w:rPr>
                    <w:rFonts w:ascii="Courier New" w:hAnsi="Courier New"/>
                    <w:b/>
                    <w:lang w:val="en-US"/>
                  </w:rPr>
                  <w:t>S.C. COMPANIA AQUASERV S.A.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b/>
                    <w:sz w:val="20"/>
                    <w:lang w:val="en-US"/>
                  </w:rPr>
                </w:pPr>
                <w:r>
                  <w:rPr>
                    <w:rFonts w:ascii="Courier New" w:hAnsi="Courier New"/>
                    <w:b/>
                    <w:sz w:val="20"/>
                  </w:rPr>
                  <w:t>ORC: J26/464/1998</w:t>
                </w:r>
                <w:r>
                  <w:rPr>
                    <w:rFonts w:ascii="Courier New" w:hAnsi="Courier New"/>
                    <w:b/>
                    <w:sz w:val="20"/>
                    <w:lang w:val="en-US"/>
                  </w:rPr>
                  <w:t>;    CIF: RO10755074</w:t>
                </w:r>
              </w:p>
              <w:p w:rsidR="00A02D1C" w:rsidRDefault="00A02D1C" w:rsidP="00A02D1C">
                <w:pPr>
                  <w:spacing w:line="18" w:lineRule="atLeast"/>
                  <w:jc w:val="lef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en-US"/>
                  </w:rPr>
                  <w:t>Str. K</w:t>
                </w:r>
                <w:r w:rsidR="0070323F">
                  <w:rPr>
                    <w:rFonts w:ascii="Courier New" w:hAnsi="Courier New"/>
                    <w:sz w:val="22"/>
                    <w:lang w:val="hu-HU"/>
                  </w:rPr>
                  <w:t>ós Károly nr.1   Tîrgu-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Mure</w:t>
                </w:r>
                <w:r>
                  <w:rPr>
                    <w:rFonts w:ascii="Courier New" w:hAnsi="Courier New"/>
                    <w:sz w:val="22"/>
                    <w:lang w:val="en-US"/>
                  </w:rPr>
                  <w:t>ş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Cod poştal:         540297,ROMÂNIA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Telefon:        +40-(0)265-208.</w:t>
                </w:r>
                <w:r w:rsidR="00A8433F">
                  <w:rPr>
                    <w:rFonts w:ascii="Courier New" w:hAnsi="Courier New"/>
                    <w:sz w:val="22"/>
                    <w:lang w:val="hu-HU"/>
                  </w:rPr>
                  <w:t>80</w:t>
                </w:r>
                <w:r w:rsidR="00B040A2">
                  <w:rPr>
                    <w:rFonts w:ascii="Courier New" w:hAnsi="Courier New"/>
                    <w:sz w:val="22"/>
                    <w:lang w:val="hu-HU"/>
                  </w:rPr>
                  <w:t>0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Fax:            +40-(0)265-20</w:t>
                </w:r>
                <w:r w:rsidR="007F42AB">
                  <w:rPr>
                    <w:rFonts w:ascii="Courier New" w:hAnsi="Courier New"/>
                    <w:sz w:val="22"/>
                    <w:lang w:val="hu-HU"/>
                  </w:rPr>
                  <w:t>8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.</w:t>
                </w:r>
                <w:r w:rsidR="00A8433F">
                  <w:rPr>
                    <w:rFonts w:ascii="Courier New" w:hAnsi="Courier New"/>
                    <w:sz w:val="22"/>
                    <w:lang w:val="hu-HU"/>
                  </w:rPr>
                  <w:t>881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 xml:space="preserve">E-mail:         </w:t>
                </w:r>
                <w:r w:rsidR="00A8433F">
                  <w:rPr>
                    <w:rFonts w:ascii="Courier New" w:hAnsi="Courier New"/>
                    <w:sz w:val="22"/>
                    <w:lang w:val="hu-HU"/>
                  </w:rPr>
                  <w:t>office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@aquaserv.ro</w:t>
                </w:r>
              </w:p>
              <w:p w:rsidR="00A02D1C" w:rsidRDefault="00A02D1C" w:rsidP="00A02D1C">
                <w:r>
                  <w:rPr>
                    <w:sz w:val="24"/>
                    <w:lang w:val="hu-HU"/>
                  </w:rPr>
                  <w:tab/>
                  <w:t xml:space="preserve">            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www.aquaserv.ro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ab/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ab/>
                </w:r>
              </w:p>
            </w:txbxContent>
          </v:textbox>
        </v:shape>
      </w:pict>
    </w:r>
    <w:r w:rsidR="00EF5F8B">
      <w:rPr>
        <w:noProof/>
        <w:sz w:val="20"/>
      </w:rPr>
      <w:pict>
        <v:line id="_x0000_s2051" style="position:absolute;left:0;text-align:left;z-index:251657728;mso-position-horizontal-relative:text;mso-position-vertical-relative:text" from="-.8pt,110.25pt" to="503.2pt,110.25pt" o:allowincell="f" strokeweight=".5pt"/>
      </w:pict>
    </w:r>
    <w:r w:rsidR="00EF5F8B">
      <w:rPr>
        <w:noProof/>
      </w:rPr>
      <w:pict>
        <v:shape id="_x0000_s2049" type="#_x0000_t202" style="position:absolute;left:0;text-align:left;margin-left:30pt;margin-top:216.65pt;width:247.55pt;height:59.6pt;z-index:251655680;mso-position-horizontal-relative:text;mso-position-vertical-relative:text" o:allowincell="f" filled="f" stroked="f">
          <v:textbox style="mso-next-textbox:#_x0000_s2049">
            <w:txbxContent>
              <w:p w:rsidR="00EF5F8B" w:rsidRDefault="00EF5F8B">
                <w:pPr>
                  <w:spacing w:line="18" w:lineRule="atLeast"/>
                  <w:rPr>
                    <w:rFonts w:ascii="Courier New" w:hAnsi="Courier New"/>
                    <w:b/>
                    <w:lang w:val="en-US"/>
                  </w:rPr>
                </w:pPr>
              </w:p>
              <w:p w:rsidR="00EF5F8B" w:rsidRDefault="00EF5F8B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</w:p>
            </w:txbxContent>
          </v:textbox>
        </v:shape>
      </w:pict>
    </w:r>
    <w:r w:rsidR="00C57E8F"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9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252B"/>
    <w:rsid w:val="0000554C"/>
    <w:rsid w:val="00014D94"/>
    <w:rsid w:val="0004246B"/>
    <w:rsid w:val="00045139"/>
    <w:rsid w:val="00093EB6"/>
    <w:rsid w:val="001A770A"/>
    <w:rsid w:val="001C0376"/>
    <w:rsid w:val="00210BE8"/>
    <w:rsid w:val="00242D83"/>
    <w:rsid w:val="00245B17"/>
    <w:rsid w:val="0027263D"/>
    <w:rsid w:val="002D5FF7"/>
    <w:rsid w:val="003147BF"/>
    <w:rsid w:val="00347CD7"/>
    <w:rsid w:val="003A1221"/>
    <w:rsid w:val="003E372E"/>
    <w:rsid w:val="00502B98"/>
    <w:rsid w:val="00523A46"/>
    <w:rsid w:val="00542B15"/>
    <w:rsid w:val="00590134"/>
    <w:rsid w:val="005F19AF"/>
    <w:rsid w:val="006659D8"/>
    <w:rsid w:val="006B3C94"/>
    <w:rsid w:val="0070323F"/>
    <w:rsid w:val="007B3693"/>
    <w:rsid w:val="007C252B"/>
    <w:rsid w:val="007C30A9"/>
    <w:rsid w:val="007F42AB"/>
    <w:rsid w:val="00804E56"/>
    <w:rsid w:val="00806EEB"/>
    <w:rsid w:val="00847599"/>
    <w:rsid w:val="008555C1"/>
    <w:rsid w:val="008F268B"/>
    <w:rsid w:val="00905757"/>
    <w:rsid w:val="0091288A"/>
    <w:rsid w:val="00921BAB"/>
    <w:rsid w:val="00944A50"/>
    <w:rsid w:val="009C1FFB"/>
    <w:rsid w:val="00A02D1C"/>
    <w:rsid w:val="00A145E8"/>
    <w:rsid w:val="00A5250A"/>
    <w:rsid w:val="00A8433F"/>
    <w:rsid w:val="00AD75CA"/>
    <w:rsid w:val="00B040A2"/>
    <w:rsid w:val="00B369BD"/>
    <w:rsid w:val="00BF5350"/>
    <w:rsid w:val="00C57E8F"/>
    <w:rsid w:val="00C80D7D"/>
    <w:rsid w:val="00CA18B3"/>
    <w:rsid w:val="00CD35CC"/>
    <w:rsid w:val="00CE0510"/>
    <w:rsid w:val="00D451E1"/>
    <w:rsid w:val="00DC7F86"/>
    <w:rsid w:val="00E167EC"/>
    <w:rsid w:val="00E8167E"/>
    <w:rsid w:val="00E86693"/>
    <w:rsid w:val="00EF5F8B"/>
    <w:rsid w:val="00F007D2"/>
    <w:rsid w:val="00F14175"/>
    <w:rsid w:val="00F30D64"/>
    <w:rsid w:val="00F3310D"/>
    <w:rsid w:val="00F57B2E"/>
    <w:rsid w:val="00F73780"/>
    <w:rsid w:val="00F8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framePr w:w="4783" w:h="1153" w:hSpace="180" w:wrap="around" w:vAnchor="text" w:hAnchor="page" w:x="6330" w:y="7"/>
      <w:spacing w:after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left"/>
      <w:outlineLvl w:val="2"/>
    </w:pPr>
    <w:rPr>
      <w:rFonts w:ascii="Arial" w:hAnsi="Arial"/>
      <w:b/>
      <w:sz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83" w:h="1153" w:hSpace="180" w:wrap="around" w:vAnchor="text" w:hAnchor="page" w:x="6330" w:y="7"/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fcontab\Application%20Data\Microsoft\Templates\general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general_color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Manager/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sefcontab</dc:creator>
  <cp:keywords/>
  <dc:description/>
  <cp:lastModifiedBy>aqua</cp:lastModifiedBy>
  <cp:revision>2</cp:revision>
  <cp:lastPrinted>2012-01-04T07:18:00Z</cp:lastPrinted>
  <dcterms:created xsi:type="dcterms:W3CDTF">2013-04-09T05:02:00Z</dcterms:created>
  <dcterms:modified xsi:type="dcterms:W3CDTF">2013-04-09T05:02:00Z</dcterms:modified>
</cp:coreProperties>
</file>